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8"/>
        <w:pBdr>
          <w:top w:val="none" w:color="auto" w:sz="0" w:space="0"/>
          <w:left w:val="none" w:color="auto" w:sz="0" w:space="0"/>
          <w:bottom w:val="none" w:color="auto" w:sz="0" w:space="0"/>
          <w:right w:val="none" w:color="auto" w:sz="0" w:space="0"/>
        </w:pBdr>
      </w:pPr>
      <w:bookmarkStart w:id="0" w:name="WXFLH"/>
      <w:r>
        <w:t>ICS</w:t>
      </w:r>
      <w:r>
        <w:rPr>
          <w:rFonts w:hint="eastAsia"/>
        </w:rPr>
        <w:t xml:space="preserve"> 13.020.01；43.040.10</w:t>
      </w:r>
    </w:p>
    <w:p>
      <w:pPr>
        <w:pStyle w:val="128"/>
      </w:pPr>
      <w:r>
        <w:rPr>
          <w:rFonts w:ascii="Times New Roman"/>
        </w:rPr>
        <w:t>L10</w:t>
      </w:r>
      <w:bookmarkEnd w:id="0"/>
    </w:p>
    <w:p>
      <w:pPr>
        <w:pStyle w:val="128"/>
      </w:pPr>
    </w:p>
    <w:p>
      <w:pPr>
        <w:pStyle w:val="71"/>
      </w:pPr>
      <w:r>
        <w:drawing>
          <wp:inline distT="0" distB="0" distL="0" distR="0">
            <wp:extent cx="1439545" cy="719455"/>
            <wp:effectExtent l="0" t="0" r="8255" b="4445"/>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439545" cy="719455"/>
                    </a:xfrm>
                    <a:prstGeom prst="rect">
                      <a:avLst/>
                    </a:prstGeom>
                    <a:noFill/>
                    <a:ln>
                      <a:noFill/>
                    </a:ln>
                  </pic:spPr>
                </pic:pic>
              </a:graphicData>
            </a:graphic>
          </wp:inline>
        </w:drawing>
      </w:r>
    </w:p>
    <w:p>
      <w:pPr>
        <w:pStyle w:val="72"/>
      </w:pPr>
      <w:r>
        <w:rPr>
          <w:rFonts w:hint="eastAsia"/>
        </w:rPr>
        <w:t>中华人民共和国国家标准</w:t>
      </w:r>
    </w:p>
    <w:p>
      <w:pPr>
        <w:pStyle w:val="52"/>
        <w:wordWrap w:val="0"/>
      </w:pPr>
      <w:r>
        <w:rPr>
          <w:rFonts w:ascii="Times New Roman"/>
        </w:rPr>
        <w:t xml:space="preserve">GB/T </w:t>
      </w:r>
      <w:r>
        <w:rPr>
          <w:rFonts w:hint="eastAsia" w:ascii="Times New Roman"/>
        </w:rPr>
        <w:t>39560.10</w:t>
      </w:r>
      <w:r>
        <w:t>—</w:t>
      </w:r>
      <w:bookmarkStart w:id="1"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1"/>
      <w:r>
        <w:rPr>
          <w:rFonts w:hint="eastAsia"/>
        </w:rPr>
        <w:t>/IEC 62321-10:2020</w:t>
      </w:r>
    </w:p>
    <w:tbl>
      <w:tblPr>
        <w:tblStyle w:val="44"/>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9356" w:type="dxa"/>
            <w:tcBorders>
              <w:top w:val="nil"/>
              <w:left w:val="nil"/>
              <w:bottom w:val="nil"/>
              <w:right w:val="nil"/>
            </w:tcBorders>
            <w:shd w:val="clear" w:color="auto" w:fill="auto"/>
          </w:tcPr>
          <w:p>
            <w:pPr>
              <w:pStyle w:val="81"/>
              <w:rPr>
                <w:sz w:val="18"/>
                <w:szCs w:val="18"/>
              </w:rPr>
            </w:pPr>
            <w:bookmarkStart w:id="2" w:name="DT"/>
            <w:r>
              <w:rPr>
                <w:sz w:val="18"/>
                <w:szCs w:val="18"/>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7"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QuLtl7wEAANIDAAAOAAAAAAAAAAEAIAAAACUBAABkcnMvZTJvRG9jLnhtbFBLBQYAAAAA&#10;BgAGAFkBAACGBQAAAAA=&#10;">
                      <v:fill on="t" focussize="0,0"/>
                      <v:stroke on="f"/>
                      <v:imagedata o:title=""/>
                      <o:lock v:ext="edit" aspectratio="f"/>
                    </v:rect>
                  </w:pict>
                </mc:Fallback>
              </mc:AlternateContent>
            </w:r>
            <w:r>
              <w:rPr>
                <w:sz w:val="18"/>
                <w:szCs w:val="18"/>
              </w:rPr>
              <w:fldChar w:fldCharType="begin">
                <w:ffData>
                  <w:name w:val="DT"/>
                  <w:enabled/>
                  <w:calcOnExit w:val="0"/>
                  <w:entryMacro w:val="ShowHelp4"/>
                  <w:textInput/>
                </w:ffData>
              </w:fldChar>
            </w:r>
            <w:r>
              <w:rPr>
                <w:sz w:val="18"/>
                <w:szCs w:val="18"/>
              </w:rPr>
              <w:instrText xml:space="preserve"> FORMTEXT </w:instrText>
            </w:r>
            <w:r>
              <w:rPr>
                <w:sz w:val="18"/>
                <w:szCs w:val="18"/>
              </w:rPr>
              <w:fldChar w:fldCharType="separate"/>
            </w:r>
            <w:r>
              <w:rPr>
                <w:sz w:val="18"/>
                <w:szCs w:val="18"/>
              </w:rPr>
              <w:t>     </w:t>
            </w:r>
            <w:r>
              <w:rPr>
                <w:sz w:val="18"/>
                <w:szCs w:val="18"/>
              </w:rPr>
              <w:fldChar w:fldCharType="end"/>
            </w:r>
            <w:bookmarkEnd w:id="2"/>
          </w:p>
        </w:tc>
      </w:tr>
    </w:tbl>
    <w:p>
      <w:pPr>
        <w:pStyle w:val="52"/>
      </w:pPr>
    </w:p>
    <w:p>
      <w:pPr>
        <w:pStyle w:val="52"/>
      </w:pPr>
    </w:p>
    <w:p>
      <w:pPr>
        <w:pStyle w:val="83"/>
        <w:ind w:firstLine="420"/>
      </w:pPr>
      <w:r>
        <w:rPr>
          <w:rFonts w:hint="eastAsia"/>
        </w:rPr>
        <w:t>电子电气产品中某些物质的测定 第10部分：气相色谱</w:t>
      </w:r>
      <w:r>
        <w:rPr>
          <w:rFonts w:hint="eastAsia"/>
          <w:lang w:val="en-US" w:eastAsia="zh-CN"/>
        </w:rPr>
        <w:t>-</w:t>
      </w:r>
      <w:r>
        <w:rPr>
          <w:rFonts w:hint="eastAsia"/>
        </w:rPr>
        <w:t>质谱法 (GC-MS)测定聚合物和电子件中的多环芳烃（PAHs）</w:t>
      </w:r>
    </w:p>
    <w:p>
      <w:pPr>
        <w:pStyle w:val="84"/>
        <w:ind w:firstLine="420"/>
        <w:rPr>
          <w:lang w:val="fr-FR"/>
        </w:rPr>
      </w:pPr>
      <w:r>
        <w:rPr>
          <w:rFonts w:hint="eastAsia"/>
        </w:rPr>
        <w:t>Determination of certain substances in electrotechnical</w:t>
      </w:r>
      <w:r>
        <w:rPr>
          <w:rFonts w:hint="eastAsia"/>
          <w:lang w:val="en-US" w:eastAsia="zh-CN"/>
        </w:rPr>
        <w:t xml:space="preserve"> and electronic</w:t>
      </w:r>
      <w:r>
        <w:rPr>
          <w:rFonts w:hint="eastAsia"/>
        </w:rPr>
        <w:t xml:space="preserve"> products - Part 10: Polycyclic aromatic hydrocarbons (PAHs) in polymers and electronics by gas chromatography-mass spectrometry (GC-MS) </w:t>
      </w:r>
      <w:r>
        <w:rPr>
          <w:lang w:val="fr-FR"/>
        </w:rPr>
        <w:t xml:space="preserve"> </w:t>
      </w:r>
    </w:p>
    <w:p>
      <w:pPr>
        <w:pStyle w:val="84"/>
        <w:keepNext w:val="0"/>
        <w:keepLines w:val="0"/>
        <w:pageBreakBefore w:val="0"/>
        <w:widowControl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370" w:line="400" w:lineRule="exact"/>
        <w:ind w:left="0" w:leftChars="0" w:right="0" w:rightChars="0" w:firstLine="420" w:firstLineChars="0"/>
        <w:jc w:val="both"/>
        <w:textAlignment w:val="center"/>
        <w:outlineLvl w:val="9"/>
        <w:rPr>
          <w:rFonts w:hint="eastAsia" w:eastAsia="黑体"/>
          <w:lang w:val="fr-FR" w:eastAsia="zh-CN"/>
        </w:rPr>
      </w:pPr>
      <w:r>
        <w:rPr>
          <w:rFonts w:hint="eastAsia"/>
          <w:lang w:val="en-US" w:eastAsia="zh-CN"/>
        </w:rPr>
        <w:t>[</w:t>
      </w:r>
      <w:r>
        <w:rPr>
          <w:rFonts w:hint="eastAsia"/>
          <w:lang w:val="fr-FR"/>
        </w:rPr>
        <w:t>IEC 62321-10：2020，</w:t>
      </w:r>
      <w:r>
        <w:rPr>
          <w:rFonts w:hint="eastAsia"/>
        </w:rPr>
        <w:t>Determination of certain substances in electrotechnic</w:t>
      </w:r>
      <w:r>
        <w:rPr>
          <w:rFonts w:hint="eastAsia"/>
          <w:lang w:val="en-US" w:eastAsia="zh-CN"/>
        </w:rPr>
        <w:t>-</w:t>
      </w:r>
      <w:r>
        <w:rPr>
          <w:rFonts w:hint="eastAsia"/>
        </w:rPr>
        <w:t>al</w:t>
      </w:r>
      <w:r>
        <w:rPr>
          <w:rFonts w:hint="eastAsia"/>
          <w:lang w:val="en-US" w:eastAsia="zh-CN"/>
        </w:rPr>
        <w:t xml:space="preserve"> </w:t>
      </w:r>
      <w:r>
        <w:rPr>
          <w:rFonts w:hint="eastAsia"/>
        </w:rPr>
        <w:t>products - Part 10: Polycyclic aromatic hydrocarbons (PAHs) in polymers and electronics by gas chromatography-mass spectrometry (GC-MS)</w:t>
      </w:r>
      <w:r>
        <w:rPr>
          <w:rFonts w:hint="eastAsia"/>
          <w:lang w:eastAsia="zh-CN"/>
        </w:rPr>
        <w:t>，</w:t>
      </w:r>
      <w:r>
        <w:rPr>
          <w:rFonts w:hint="eastAsia"/>
          <w:lang w:val="fr-FR"/>
        </w:rPr>
        <w:t>IDT</w:t>
      </w:r>
      <w:r>
        <w:rPr>
          <w:rFonts w:hint="eastAsia"/>
          <w:lang w:val="en-US" w:eastAsia="zh-CN"/>
        </w:rPr>
        <w:t>]</w:t>
      </w:r>
    </w:p>
    <w:p>
      <w:pPr>
        <w:pStyle w:val="85"/>
        <w:rPr>
          <w:rFonts w:hint="eastAsia"/>
          <w:lang w:val="fr-FR"/>
        </w:rPr>
      </w:pPr>
      <w:r>
        <w:rPr>
          <w:rFonts w:hint="eastAsia"/>
          <w:lang w:val="fr-FR"/>
        </w:rPr>
        <w:t>（</w:t>
      </w:r>
      <w:r>
        <w:rPr>
          <w:rFonts w:hint="eastAsia"/>
          <w:lang w:val="en-US" w:eastAsia="zh-CN"/>
        </w:rPr>
        <w:t>征求意见稿</w:t>
      </w:r>
      <w:r>
        <w:rPr>
          <w:rFonts w:hint="eastAsia"/>
          <w:lang w:val="fr-FR"/>
        </w:rPr>
        <w:t>）</w:t>
      </w:r>
    </w:p>
    <w:p>
      <w:pPr>
        <w:pStyle w:val="85"/>
        <w:rPr>
          <w:rFonts w:hint="eastAsia" w:eastAsia="宋体"/>
          <w:lang w:val="en-US" w:eastAsia="zh-CN"/>
        </w:rPr>
      </w:pPr>
      <w:r>
        <w:rPr>
          <w:rFonts w:hint="eastAsia"/>
          <w:lang w:val="en-US" w:eastAsia="zh-CN"/>
        </w:rPr>
        <w:t>2023-8-1</w:t>
      </w:r>
    </w:p>
    <w:tbl>
      <w:tblPr>
        <w:tblStyle w:val="44"/>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6"/>
              <w:jc w:val="both"/>
              <w:rPr>
                <w:sz w:val="18"/>
                <w:szCs w:val="18"/>
                <w:lang w:val="fr-FR"/>
              </w:rPr>
            </w:pPr>
            <w:r>
              <w:rPr>
                <w:sz w:val="18"/>
                <w:szCs w:val="18"/>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6"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F&#10;ia6S1QAAAAoBAAAPAAAAAAAAAAEAIAAAACIAAABkcnMvZG93bnJldi54bWxQSwECFAAUAAAACACH&#10;TuJAlaC6XO4BAADSAwAADgAAAAAAAAABACAAAAAkAQAAZHJzL2Uyb0RvYy54bWxQSwUGAAAAAAYA&#10;BgBZAQAAhAUAAAAA&#10;">
                      <v:fill on="t" focussize="0,0"/>
                      <v:stroke on="f"/>
                      <v:imagedata o:title=""/>
                      <o:lock v:ext="edit" aspectratio="f"/>
                      <w10:anchorlock/>
                    </v:rect>
                  </w:pict>
                </mc:Fallback>
              </mc:AlternateContent>
            </w:r>
            <w:r>
              <w:rPr>
                <w:sz w:val="18"/>
                <w:szCs w:val="18"/>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5"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GL5dYAAAAJAQAADwAAAAAAAAABACAAAAAiAAAAZHJzL2Rvd25yZXYueG1sUEsBAhQAFAAAAAgA&#10;h07iQDhGkmvuAQAA0gMAAA4AAAAAAAAAAQAgAAAAJQEAAGRycy9lMm9Eb2MueG1sUEsFBgAAAAAG&#10;AAYAWQEAAIU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7"/>
              <w:rPr>
                <w:sz w:val="18"/>
                <w:szCs w:val="18"/>
                <w:lang w:val="fr-FR"/>
              </w:rPr>
            </w:pPr>
          </w:p>
        </w:tc>
      </w:tr>
    </w:tbl>
    <w:p>
      <w:pPr>
        <w:pStyle w:val="135"/>
        <w:framePr w:hAnchor="page" w:x="1485" w:y="14091"/>
      </w:pPr>
      <w:bookmarkStart w:id="3"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3"/>
      <w:r>
        <w:t xml:space="preserve"> </w:t>
      </w:r>
      <w:r>
        <w:rPr>
          <w:rFonts w:ascii="黑体"/>
        </w:rPr>
        <w:t>-</w:t>
      </w:r>
      <w:r>
        <w:t xml:space="preserve"> </w:t>
      </w:r>
      <w:bookmarkStart w:id="4"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4"/>
      <w:r>
        <w:t xml:space="preserve"> </w:t>
      </w:r>
      <w:r>
        <w:rPr>
          <w:rFonts w:ascii="黑体"/>
        </w:rPr>
        <w:t>-</w:t>
      </w:r>
      <w:r>
        <w:t xml:space="preserve"> </w:t>
      </w:r>
      <w:bookmarkStart w:id="5"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-12065</wp:posOffset>
                </wp:positionH>
                <wp:positionV relativeFrom="page">
                  <wp:posOffset>9251950</wp:posOffset>
                </wp:positionV>
                <wp:extent cx="6120130" cy="0"/>
                <wp:effectExtent l="0" t="0" r="13970" b="19050"/>
                <wp:wrapNone/>
                <wp:docPr id="4" name="Line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0" o:spid="_x0000_s1026" o:spt="20" style="position:absolute;left:0pt;margin-left:-0.95pt;margin-top:728.5pt;height:0pt;width:481.9pt;mso-position-vertical-relative:page;z-index:251659264;mso-width-relative:page;mso-height-relative:page;" filled="f" stroked="t" coordsize="21600,21600" o:gfxdata="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Vt5NdYA&#10;AAAMAQAADwAAAAAAAAABACAAAAAiAAAAZHJzL2Rvd25yZXYueG1sUEsBAhQAFAAAAAgAh07iQAks&#10;8YyvAQAAUgMAAA4AAAAAAAAAAQAgAAAAJQEAAGRycy9lMm9Eb2MueG1sUEsFBgAAAAAGAAYAWQEA&#10;AEYFAAAAAA==&#10;">
                <v:fill on="f" focussize="0,0"/>
                <v:stroke color="#000000" joinstyle="round"/>
                <v:imagedata o:title=""/>
                <o:lock v:ext="edit" aspectratio="f"/>
                <w10:anchorlock/>
              </v:line>
            </w:pict>
          </mc:Fallback>
        </mc:AlternateContent>
      </w:r>
    </w:p>
    <w:p>
      <w:pPr>
        <w:pStyle w:val="136"/>
        <w:framePr w:hAnchor="page" w:x="7006" w:y="14119"/>
      </w:pPr>
      <w:bookmarkStart w:id="6"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6"/>
      <w:r>
        <w:t xml:space="preserve"> </w:t>
      </w:r>
      <w:r>
        <w:rPr>
          <w:rFonts w:ascii="黑体"/>
        </w:rPr>
        <w:t>-</w:t>
      </w:r>
      <w:r>
        <w:t xml:space="preserve"> </w:t>
      </w:r>
      <w:bookmarkStart w:id="7"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t xml:space="preserve"> </w:t>
      </w:r>
      <w:r>
        <w:rPr>
          <w:rFonts w:ascii="黑体"/>
        </w:rPr>
        <w:t>-</w:t>
      </w:r>
      <w:r>
        <w:t xml:space="preserve"> </w:t>
      </w:r>
      <w:bookmarkStart w:id="8"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实施</w:t>
      </w:r>
    </w:p>
    <w:p>
      <w:pPr>
        <w:pStyle w:val="29"/>
        <w:sectPr>
          <w:pgSz w:w="11906" w:h="16838"/>
          <w:pgMar w:top="567" w:right="850" w:bottom="1134" w:left="1418" w:header="0" w:footer="0" w:gutter="0"/>
          <w:pgNumType w:start="1"/>
          <w:cols w:space="425" w:num="1"/>
          <w:docGrid w:type="lines" w:linePitch="312" w:charSpace="0"/>
        </w:sectPr>
      </w:pPr>
      <w:r>
        <w:rPr>
          <w:sz w:val="21"/>
        </w:rPr>
        <mc:AlternateContent>
          <mc:Choice Requires="wpg">
            <w:drawing>
              <wp:anchor distT="0" distB="0" distL="114300" distR="114300" simplePos="0" relativeHeight="251664384" behindDoc="0" locked="0" layoutInCell="1" allowOverlap="1">
                <wp:simplePos x="0" y="0"/>
                <wp:positionH relativeFrom="column">
                  <wp:posOffset>306705</wp:posOffset>
                </wp:positionH>
                <wp:positionV relativeFrom="paragraph">
                  <wp:posOffset>9167495</wp:posOffset>
                </wp:positionV>
                <wp:extent cx="5026025" cy="561975"/>
                <wp:effectExtent l="0" t="0" r="3175" b="9525"/>
                <wp:wrapNone/>
                <wp:docPr id="2" name="组合 2"/>
                <wp:cNvGraphicFramePr/>
                <a:graphic xmlns:a="http://schemas.openxmlformats.org/drawingml/2006/main">
                  <a:graphicData uri="http://schemas.microsoft.com/office/word/2010/wordprocessingGroup">
                    <wpg:wgp>
                      <wpg:cNvGrpSpPr/>
                      <wpg:grpSpPr>
                        <a:xfrm>
                          <a:off x="0" y="0"/>
                          <a:ext cx="5026025" cy="562234"/>
                          <a:chOff x="1748" y="13169"/>
                          <a:chExt cx="7915" cy="927"/>
                        </a:xfrm>
                      </wpg:grpSpPr>
                      <wps:wsp>
                        <wps:cNvPr id="75" name="文本框 75"/>
                        <wps:cNvSpPr txBox="1">
                          <a:spLocks noChangeArrowheads="1"/>
                        </wps:cNvSpPr>
                        <wps:spPr bwMode="auto">
                          <a:xfrm>
                            <a:off x="1748" y="13237"/>
                            <a:ext cx="7915" cy="859"/>
                          </a:xfrm>
                          <a:prstGeom prst="rect">
                            <a:avLst/>
                          </a:prstGeom>
                          <a:solidFill>
                            <a:srgbClr val="FFFFFF"/>
                          </a:solidFill>
                          <a:ln>
                            <a:noFill/>
                          </a:ln>
                          <a:effectLst/>
                        </wps:spPr>
                        <wps:txbx>
                          <w:txbxContent>
                            <w:p>
                              <w:pPr>
                                <w:pStyle w:val="79"/>
                                <w:ind w:firstLine="6766" w:firstLineChars="1500"/>
                                <w:jc w:val="both"/>
                                <w:rPr>
                                  <w:rStyle w:val="78"/>
                                  <w:kern w:val="2"/>
                                </w:rPr>
                              </w:pPr>
                              <w:r>
                                <w:rPr>
                                  <w:rStyle w:val="78"/>
                                  <w:rFonts w:hint="eastAsia"/>
                                </w:rPr>
                                <w:t>发布</w:t>
                              </w:r>
                            </w:p>
                            <w:p>
                              <w:pPr>
                                <w:pStyle w:val="29"/>
                              </w:pPr>
                            </w:p>
                          </w:txbxContent>
                        </wps:txbx>
                        <wps:bodyPr rot="0" vert="horz" wrap="square" lIns="0" tIns="0" rIns="0" bIns="0" anchor="t" anchorCtr="0" upright="1">
                          <a:noAutofit/>
                        </wps:bodyPr>
                      </wps:wsp>
                      <wps:wsp>
                        <wps:cNvPr id="10" name="文本框 1"/>
                        <wps:cNvSpPr txBox="1">
                          <a:spLocks noChangeArrowheads="1"/>
                        </wps:cNvSpPr>
                        <wps:spPr bwMode="auto">
                          <a:xfrm>
                            <a:off x="2920" y="13169"/>
                            <a:ext cx="5083" cy="775"/>
                          </a:xfrm>
                          <a:prstGeom prst="rect">
                            <a:avLst/>
                          </a:prstGeom>
                          <a:solidFill>
                            <a:srgbClr val="FFFFFF"/>
                          </a:solidFill>
                          <a:ln>
                            <a:noFill/>
                          </a:ln>
                          <a:effectLst/>
                        </wps:spPr>
                        <wps:txbx>
                          <w:txbxContent>
                            <w:p>
                              <w:pPr>
                                <w:pStyle w:val="79"/>
                                <w:spacing w:line="0" w:lineRule="atLeast"/>
                                <w:jc w:val="distribute"/>
                              </w:pPr>
                              <w:r>
                                <w:rPr>
                                  <w:rFonts w:hint="eastAsia"/>
                                </w:rPr>
                                <w:t>国家市场监督管理总局</w:t>
                              </w:r>
                            </w:p>
                            <w:p>
                              <w:pPr>
                                <w:pStyle w:val="79"/>
                                <w:spacing w:line="0" w:lineRule="atLeast"/>
                                <w:jc w:val="distribute"/>
                                <w:rPr>
                                  <w:rStyle w:val="78"/>
                                  <w:kern w:val="2"/>
                                </w:rPr>
                              </w:pPr>
                              <w:r>
                                <w:rPr>
                                  <w:rFonts w:hint="eastAsia"/>
                                </w:rPr>
                                <w:t xml:space="preserve">国家标准化管理委员会  </w:t>
                              </w:r>
                            </w:p>
                            <w:p>
                              <w:pPr>
                                <w:pStyle w:val="29"/>
                                <w:jc w:val="distribute"/>
                              </w:pPr>
                            </w:p>
                          </w:txbxContent>
                        </wps:txbx>
                        <wps:bodyPr rot="0" vert="horz" wrap="square" lIns="0" tIns="0" rIns="0" bIns="0" anchor="t" anchorCtr="0" upright="1">
                          <a:noAutofit/>
                        </wps:bodyPr>
                      </wps:wsp>
                    </wpg:wgp>
                  </a:graphicData>
                </a:graphic>
              </wp:anchor>
            </w:drawing>
          </mc:Choice>
          <mc:Fallback>
            <w:pict>
              <v:group id="_x0000_s1026" o:spid="_x0000_s1026" o:spt="203" style="position:absolute;left:0pt;margin-left:24.15pt;margin-top:721.85pt;height:44.25pt;width:395.75pt;z-index:251664384;mso-width-relative:page;mso-height-relative:page;" coordorigin="1748,13169" coordsize="7915,927" o:gfxdata="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DXhBwj2gAAAAwBAAAPAAAAAAAAAAEAIAAAACIA&#10;AABkcnMvZG93bnJldi54bWxQSwECFAAUAAAACACHTuJA3UD3ZLICAACBBwAADgAAAAAAAAABACAA&#10;AAApAQAAZHJzL2Uyb0RvYy54bWxQSwUGAAAAAAYABgBZAQAATQYAAAAA&#10;">
                <o:lock v:ext="edit" aspectratio="f"/>
                <v:shape id="_x0000_s1026" o:spid="_x0000_s1026" o:spt="202" type="#_x0000_t202" style="position:absolute;left:1748;top:13237;height:859;width:7915;" fillcolor="#FFFFFF" filled="t" stroked="f" coordsize="21600,21600" o:gfxdata="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nBab4A&#10;AADbAAAADwAAAAAAAAABACAAAAAiAAAAZHJzL2Rvd25yZXYueG1sUEsBAhQAFAAAAAgAh07iQDMv&#10;BZ47AAAAOQAAABAAAAAAAAAAAQAgAAAADQEAAGRycy9zaGFwZXhtbC54bWxQSwUGAAAAAAYABgBb&#10;AQAAtwMAAAAA&#10;">
                  <v:fill on="t" focussize="0,0"/>
                  <v:stroke on="f"/>
                  <v:imagedata o:title=""/>
                  <o:lock v:ext="edit" aspectratio="f"/>
                  <v:textbox inset="0mm,0mm,0mm,0mm">
                    <w:txbxContent>
                      <w:p>
                        <w:pPr>
                          <w:pStyle w:val="79"/>
                          <w:ind w:firstLine="6766" w:firstLineChars="1500"/>
                          <w:jc w:val="both"/>
                          <w:rPr>
                            <w:rStyle w:val="78"/>
                            <w:kern w:val="2"/>
                          </w:rPr>
                        </w:pPr>
                        <w:r>
                          <w:rPr>
                            <w:rStyle w:val="78"/>
                            <w:rFonts w:hint="eastAsia"/>
                          </w:rPr>
                          <w:t>发布</w:t>
                        </w:r>
                      </w:p>
                      <w:p>
                        <w:pPr>
                          <w:pStyle w:val="29"/>
                        </w:pPr>
                      </w:p>
                    </w:txbxContent>
                  </v:textbox>
                </v:shape>
                <v:shape id="文本框 1" o:spid="_x0000_s1026" o:spt="202" type="#_x0000_t202" style="position:absolute;left:2920;top:13169;height:775;width:5083;" fillcolor="#FFFFFF" filled="t" stroked="f" coordsize="21600,21600" o:gfxdata="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Rh1G8AAAA&#10;2w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pStyle w:val="79"/>
                          <w:spacing w:line="0" w:lineRule="atLeast"/>
                          <w:jc w:val="distribute"/>
                        </w:pPr>
                        <w:r>
                          <w:rPr>
                            <w:rFonts w:hint="eastAsia"/>
                          </w:rPr>
                          <w:t>国家市场监督管理总局</w:t>
                        </w:r>
                      </w:p>
                      <w:p>
                        <w:pPr>
                          <w:pStyle w:val="79"/>
                          <w:spacing w:line="0" w:lineRule="atLeast"/>
                          <w:jc w:val="distribute"/>
                          <w:rPr>
                            <w:rStyle w:val="78"/>
                            <w:kern w:val="2"/>
                          </w:rPr>
                        </w:pPr>
                        <w:r>
                          <w:rPr>
                            <w:rFonts w:hint="eastAsia"/>
                          </w:rPr>
                          <w:t xml:space="preserve">国家标准化管理委员会  </w:t>
                        </w:r>
                      </w:p>
                      <w:p>
                        <w:pPr>
                          <w:pStyle w:val="29"/>
                          <w:jc w:val="distribute"/>
                        </w:pPr>
                      </w:p>
                    </w:txbxContent>
                  </v:textbox>
                </v:shap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3"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QkHiX9cA&#10;AAAJAQAADwAAAAAAAAABACAAAAAiAAAAZHJzL2Rvd25yZXYueG1sUEsBAhQAFAAAAAgAh07iQKbt&#10;FMuuAQAAUgMAAA4AAAAAAAAAAQAgAAAAJgEAAGRycy9lMm9Eb2MueG1sUEsFBgAAAAAGAAYAWQEA&#10;AEYFAAAAAA==&#10;">
                <v:fill on="f" focussize="0,0"/>
                <v:stroke color="#000000" joinstyle="round"/>
                <v:imagedata o:title=""/>
                <o:lock v:ext="edit" aspectratio="f"/>
              </v:line>
            </w:pict>
          </mc:Fallback>
        </mc:AlternateContent>
      </w:r>
    </w:p>
    <w:p>
      <w:pPr>
        <w:pStyle w:val="117"/>
        <w:rPr>
          <w:rFonts w:hint="eastAsia" w:ascii="黑体" w:hAnsi="黑体" w:eastAsia="黑体" w:cs="黑体"/>
          <w:b w:val="0"/>
          <w:bCs w:val="0"/>
          <w:sz w:val="32"/>
          <w:szCs w:val="32"/>
          <w:lang w:val="en-US" w:eastAsia="zh-CN"/>
        </w:rPr>
      </w:pPr>
      <w:bookmarkStart w:id="9" w:name="_Toc13838"/>
      <w:bookmarkStart w:id="10" w:name="_Toc28221"/>
      <w:bookmarkStart w:id="11" w:name="_Toc18152"/>
      <w:bookmarkStart w:id="12" w:name="_Toc518569058"/>
      <w:r>
        <w:rPr>
          <w:rFonts w:hint="eastAsia" w:ascii="黑体" w:hAnsi="黑体" w:eastAsia="黑体" w:cs="黑体"/>
          <w:b w:val="0"/>
          <w:bCs w:val="0"/>
          <w:sz w:val="32"/>
          <w:szCs w:val="32"/>
        </w:rPr>
        <w:t>目</w:t>
      </w:r>
      <w:r>
        <w:rPr>
          <w:rFonts w:hint="eastAsia" w:ascii="黑体" w:hAnsi="黑体" w:eastAsia="黑体" w:cs="黑体"/>
          <w:b w:val="0"/>
          <w:bCs w:val="0"/>
          <w:sz w:val="32"/>
          <w:szCs w:val="32"/>
          <w:lang w:val="en-US" w:eastAsia="zh-CN"/>
        </w:rPr>
        <w:t>次</w:t>
      </w:r>
      <w:bookmarkEnd w:id="9"/>
    </w:p>
    <w:p>
      <w:pPr>
        <w:pStyle w:val="25"/>
        <w:tabs>
          <w:tab w:val="right" w:leader="dot" w:pos="9354"/>
          <w:tab w:val="clear" w:pos="9242"/>
        </w:tabs>
        <w:rPr>
          <w:rFonts w:hint="eastAsia" w:asciiTheme="minorEastAsia" w:hAnsiTheme="minorEastAsia" w:eastAsiaTheme="minorEastAsia" w:cstheme="minorEastAsia"/>
        </w:rPr>
      </w:pPr>
      <w:r>
        <w:fldChar w:fldCharType="begin"/>
      </w:r>
      <w:r>
        <w:instrText xml:space="preserve">TOC \o "1-2" \h \u </w:instrText>
      </w:r>
      <w:r>
        <w:fldChar w:fldCharType="separate"/>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_Toc17380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前  言</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_Toc17380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II</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_Toc14075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引言</w:t>
      </w:r>
      <w:r>
        <w:rPr>
          <w:rFonts w:hint="eastAsia" w:asciiTheme="minorEastAsia" w:hAnsiTheme="minorEastAsia" w:eastAsiaTheme="minorEastAsia" w:cstheme="minorEastAsia"/>
        </w:rPr>
        <w:tab/>
      </w:r>
      <w:r>
        <w:rPr>
          <w:rFonts w:hint="eastAsia" w:ascii="宋体" w:hAnsi="宋体" w:eastAsia="宋体" w:cs="宋体"/>
        </w:rPr>
        <w:t>Ⅲ</w:t>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_Toc16104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1 范围</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_Toc16104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_Toc3609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2 规范性引用文件</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_Toc3609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_Toc12122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3 术语、定义与缩略语</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_Toc12122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_Toc23811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4 原则</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_Toc23811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_Toc9717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5 试剂与材料</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_Toc9717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_Toc714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6 装置</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_Toc714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_Toc31996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7 取样</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_Toc31996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_Toc30018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8 程序</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_Toc30018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_Toc19727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9 PAH浓度计算</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_Toc19727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10</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_Toc25664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10 精</w:t>
      </w:r>
      <w:r>
        <w:rPr>
          <w:rFonts w:hint="eastAsia" w:asciiTheme="minorEastAsia" w:hAnsiTheme="minorEastAsia" w:eastAsiaTheme="minorEastAsia" w:cstheme="minorEastAsia"/>
          <w:kern w:val="0"/>
          <w:szCs w:val="20"/>
          <w:lang w:val="en-US" w:eastAsia="zh-CN"/>
        </w:rPr>
        <w:t>密</w:t>
      </w:r>
      <w:r>
        <w:rPr>
          <w:rFonts w:hint="eastAsia" w:asciiTheme="minorEastAsia" w:hAnsiTheme="minorEastAsia" w:eastAsiaTheme="minorEastAsia" w:cstheme="minorEastAsia"/>
          <w:kern w:val="0"/>
          <w:szCs w:val="20"/>
        </w:rPr>
        <w:t>度：重复性和再现性</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_Toc25664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10</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_Toc24981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11 质量保证与控制</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_Toc24981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_Toc1227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12 检测报告</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_Toc1227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_Toc23989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附录A （资料性） 其他GC-MS条件</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_Toc23989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_Toc3786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附录B （资料性） PAH国际实验室间研究结果（IIS10-PAHs）</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_Toc3786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19</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rPr>
          <w:rFonts w:hint="eastAsia" w:asciiTheme="minorEastAsia" w:hAnsiTheme="minorEastAsia" w:eastAsiaTheme="minorEastAsia" w:cstheme="minorEastAsia"/>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_Toc32198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Cs w:val="20"/>
        </w:rPr>
        <w:t>附录C （资料性） PAH测试的实验室器具清洁程序</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_Toc32198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5"/>
        <w:tabs>
          <w:tab w:val="right" w:leader="dot" w:pos="9354"/>
          <w:tab w:val="clear" w:pos="9242"/>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_Toc18704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参考文献</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_Toc18704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29"/>
      </w:pPr>
      <w:r>
        <w:fldChar w:fldCharType="end"/>
      </w:r>
    </w:p>
    <w:p>
      <w:pPr>
        <w:pStyle w:val="117"/>
        <w:rPr>
          <w:rFonts w:ascii="Times New Roman"/>
          <w:color w:val="000000"/>
        </w:rPr>
      </w:pPr>
      <w:bookmarkStart w:id="13" w:name="_Toc17380"/>
      <w:r>
        <w:rPr>
          <w:rFonts w:ascii="Times New Roman"/>
          <w:color w:val="000000"/>
        </w:rPr>
        <w:t>前  言</w:t>
      </w:r>
      <w:bookmarkEnd w:id="10"/>
      <w:bookmarkEnd w:id="11"/>
      <w:bookmarkEnd w:id="13"/>
    </w:p>
    <w:p>
      <w:pPr>
        <w:pStyle w:val="29"/>
        <w:rPr>
          <w:rFonts w:ascii="Times New Roman"/>
          <w:color w:val="000000"/>
        </w:rPr>
      </w:pPr>
      <w:r>
        <w:rPr>
          <w:rFonts w:hint="eastAsia" w:ascii="Times New Roman"/>
          <w:color w:val="000000"/>
        </w:rPr>
        <w:t>本系列标准GB/T 39560《</w:t>
      </w:r>
      <w:r>
        <w:rPr>
          <w:rFonts w:hint="eastAsia"/>
        </w:rPr>
        <w:t>电子电气产品中某些物质的测定</w:t>
      </w:r>
      <w:r>
        <w:rPr>
          <w:rFonts w:hint="eastAsia" w:ascii="Times New Roman"/>
          <w:color w:val="000000"/>
        </w:rPr>
        <w:t>》目前分为以下几个部分：</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第1部分：介绍和概述；</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第2部分：拆解，拆分和机械制样；</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第3-1部分: X射线荧光光谱法筛选铅、汞、镉、总铬和总溴；</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第3-2部分：燃烧-离子色谱法</w:t>
      </w:r>
      <w:r>
        <w:rPr>
          <w:rFonts w:hint="eastAsia" w:asciiTheme="minorEastAsia" w:hAnsiTheme="minorEastAsia" w:eastAsiaTheme="minorEastAsia" w:cstheme="minorEastAsia"/>
          <w:color w:val="000000"/>
          <w:lang w:val="en-US" w:eastAsia="zh-CN"/>
        </w:rPr>
        <w:t>(</w:t>
      </w:r>
      <w:r>
        <w:rPr>
          <w:rFonts w:hint="eastAsia" w:ascii="Times New Roman"/>
          <w:color w:val="000000"/>
        </w:rPr>
        <w:t>C-IC</w:t>
      </w:r>
      <w:r>
        <w:rPr>
          <w:rFonts w:hint="eastAsia" w:asciiTheme="minorEastAsia" w:hAnsiTheme="minorEastAsia" w:eastAsiaTheme="minorEastAsia" w:cstheme="minorEastAsia"/>
          <w:color w:val="000000"/>
          <w:lang w:val="en-US" w:eastAsia="zh-CN"/>
        </w:rPr>
        <w:t>)</w:t>
      </w:r>
      <w:r>
        <w:rPr>
          <w:rFonts w:hint="eastAsia" w:ascii="Times New Roman"/>
          <w:color w:val="000000"/>
        </w:rPr>
        <w:t>筛选聚合物和电子件中的氟、溴和氯；</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第3</w:t>
      </w:r>
      <w:r>
        <w:rPr>
          <w:rFonts w:hint="eastAsia" w:ascii="Times New Roman"/>
          <w:color w:val="000000"/>
          <w:lang w:val="en-US" w:eastAsia="zh-CN"/>
        </w:rPr>
        <w:t>-</w:t>
      </w:r>
      <w:r>
        <w:rPr>
          <w:rFonts w:hint="eastAsia" w:ascii="Times New Roman"/>
          <w:color w:val="000000"/>
        </w:rPr>
        <w:t>3部分：配有热裂解</w:t>
      </w:r>
      <w:r>
        <w:rPr>
          <w:rFonts w:hint="eastAsia" w:ascii="Times New Roman"/>
          <w:color w:val="000000"/>
          <w:lang w:val="en-US" w:eastAsia="zh-CN"/>
        </w:rPr>
        <w:t>/</w:t>
      </w:r>
      <w:r>
        <w:rPr>
          <w:rFonts w:hint="eastAsia" w:ascii="Times New Roman"/>
          <w:color w:val="000000"/>
        </w:rPr>
        <w:t>热脱附的气相色谱</w:t>
      </w:r>
      <w:r>
        <w:rPr>
          <w:rFonts w:hint="eastAsia" w:ascii="Times New Roman"/>
          <w:color w:val="000000"/>
          <w:lang w:val="en-US" w:eastAsia="zh-CN"/>
        </w:rPr>
        <w:t>-</w:t>
      </w:r>
      <w:r>
        <w:rPr>
          <w:rFonts w:hint="eastAsia" w:ascii="Times New Roman"/>
          <w:color w:val="000000"/>
        </w:rPr>
        <w:t>质谱法</w:t>
      </w:r>
      <w:r>
        <w:rPr>
          <w:rFonts w:hint="eastAsia" w:asciiTheme="minorEastAsia" w:hAnsiTheme="minorEastAsia" w:eastAsiaTheme="minorEastAsia" w:cstheme="minorEastAsia"/>
          <w:color w:val="000000"/>
          <w:lang w:val="en-US" w:eastAsia="zh-CN"/>
        </w:rPr>
        <w:t>(</w:t>
      </w:r>
      <w:r>
        <w:rPr>
          <w:rFonts w:hint="eastAsia" w:ascii="Times New Roman"/>
          <w:color w:val="000000"/>
        </w:rPr>
        <w:t>Py/TD-GC-MS</w:t>
      </w:r>
      <w:r>
        <w:rPr>
          <w:rFonts w:hint="eastAsia" w:asciiTheme="minorEastAsia" w:hAnsiTheme="minorEastAsia" w:eastAsiaTheme="minorEastAsia" w:cstheme="minorEastAsia"/>
          <w:color w:val="000000"/>
          <w:lang w:val="en-US" w:eastAsia="zh-CN"/>
        </w:rPr>
        <w:t>)</w:t>
      </w:r>
      <w:r>
        <w:rPr>
          <w:rFonts w:hint="eastAsia" w:ascii="Times New Roman"/>
          <w:color w:val="000000"/>
        </w:rPr>
        <w:t>筛选聚合物中的多溴联苯、多溴二苯醚和邻苯二甲酸酯；</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第4部分：CV-AAS、CV-AFS、ICP-OES和ICP-MS测定聚合物，金属和电子件中的汞；</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第5部分：AAS、AFS、ICP-OES和ICP-MS测定聚合物和电子件中的镉、铅和铬与金属中的镉和铅；</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第6部分：气相色谱-质谱法</w:t>
      </w:r>
      <w:r>
        <w:rPr>
          <w:rFonts w:hint="eastAsia" w:asciiTheme="minorEastAsia" w:hAnsiTheme="minorEastAsia" w:eastAsiaTheme="minorEastAsia" w:cstheme="minorEastAsia"/>
          <w:color w:val="000000"/>
          <w:lang w:val="en-US" w:eastAsia="zh-CN"/>
        </w:rPr>
        <w:t>(</w:t>
      </w:r>
      <w:r>
        <w:rPr>
          <w:rFonts w:hint="eastAsia" w:ascii="Times New Roman"/>
          <w:color w:val="000000"/>
        </w:rPr>
        <w:t>GC-MS</w:t>
      </w:r>
      <w:r>
        <w:rPr>
          <w:rFonts w:hint="eastAsia" w:asciiTheme="minorEastAsia" w:hAnsiTheme="minorEastAsia" w:eastAsiaTheme="minorEastAsia" w:cstheme="minorEastAsia"/>
          <w:color w:val="000000"/>
          <w:lang w:val="en-US" w:eastAsia="zh-CN"/>
        </w:rPr>
        <w:t>)</w:t>
      </w:r>
      <w:r>
        <w:rPr>
          <w:rFonts w:hint="eastAsia" w:ascii="Times New Roman"/>
          <w:color w:val="000000"/>
        </w:rPr>
        <w:t>测定聚合物中的多溴联苯和多溴二苯醚；</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第7-1部分：六价铬-比色法测定金属上无色和有色防腐镀层中的六价铬（Cr（VI））；</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第7-2部分：六价铬-比色法测定聚合物和电子件中的中六价铬（Cr（VI））；</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第8部分：气相色谱-质谱法（GC-MS）与配有热裂解/热脱附的气相色谱-质谱法 （Py/TD-GC-MS）测定聚合物中的邻苯二甲酸酯。</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第9部分：气相色谱</w:t>
      </w:r>
      <w:r>
        <w:rPr>
          <w:rFonts w:hint="eastAsia" w:ascii="Times New Roman"/>
          <w:color w:val="000000"/>
          <w:lang w:val="en-US" w:eastAsia="zh-CN"/>
        </w:rPr>
        <w:t>-</w:t>
      </w:r>
      <w:r>
        <w:rPr>
          <w:rFonts w:hint="eastAsia" w:ascii="Times New Roman"/>
          <w:color w:val="000000"/>
        </w:rPr>
        <w:t xml:space="preserve">质谱法 </w:t>
      </w:r>
      <w:r>
        <w:rPr>
          <w:rFonts w:hint="eastAsia" w:asciiTheme="minorEastAsia" w:hAnsiTheme="minorEastAsia" w:eastAsiaTheme="minorEastAsia" w:cstheme="minorEastAsia"/>
          <w:color w:val="000000"/>
        </w:rPr>
        <w:t>(</w:t>
      </w:r>
      <w:r>
        <w:rPr>
          <w:rFonts w:hint="eastAsia" w:ascii="Times New Roman"/>
          <w:color w:val="000000"/>
        </w:rPr>
        <w:t>GC-MS</w:t>
      </w:r>
      <w:r>
        <w:rPr>
          <w:rFonts w:hint="eastAsia" w:asciiTheme="minorEastAsia" w:hAnsiTheme="minorEastAsia" w:eastAsiaTheme="minorEastAsia" w:cstheme="minorEastAsia"/>
          <w:color w:val="000000"/>
        </w:rPr>
        <w:t>)</w:t>
      </w:r>
      <w:r>
        <w:rPr>
          <w:rFonts w:hint="eastAsia" w:ascii="Times New Roman"/>
          <w:color w:val="000000"/>
        </w:rPr>
        <w:t>测定聚合物中的六溴环十二烷；</w:t>
      </w:r>
    </w:p>
    <w:p>
      <w:pPr>
        <w:pStyle w:val="29"/>
        <w:numPr>
          <w:ilvl w:val="0"/>
          <w:numId w:val="18"/>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第10部分：气相色谱</w:t>
      </w:r>
      <w:r>
        <w:rPr>
          <w:rFonts w:hint="eastAsia" w:ascii="Times New Roman"/>
          <w:color w:val="000000"/>
          <w:lang w:val="en-US" w:eastAsia="zh-CN"/>
        </w:rPr>
        <w:t>-</w:t>
      </w:r>
      <w:r>
        <w:rPr>
          <w:rFonts w:hint="eastAsia" w:ascii="Times New Roman"/>
          <w:color w:val="000000"/>
        </w:rPr>
        <w:t>质谱法</w:t>
      </w:r>
      <w:r>
        <w:rPr>
          <w:rFonts w:hint="eastAsia" w:asciiTheme="minorEastAsia" w:hAnsiTheme="minorEastAsia" w:eastAsiaTheme="minorEastAsia" w:cstheme="minorEastAsia"/>
          <w:color w:val="000000"/>
        </w:rPr>
        <w:t xml:space="preserve"> (</w:t>
      </w:r>
      <w:r>
        <w:rPr>
          <w:rFonts w:hint="eastAsia" w:ascii="Times New Roman"/>
          <w:color w:val="000000"/>
        </w:rPr>
        <w:t>GC-MS</w:t>
      </w:r>
      <w:r>
        <w:rPr>
          <w:rFonts w:hint="eastAsia" w:asciiTheme="minorEastAsia" w:hAnsiTheme="minorEastAsia" w:eastAsiaTheme="minorEastAsia" w:cstheme="minorEastAsia"/>
          <w:color w:val="000000"/>
        </w:rPr>
        <w:t>)</w:t>
      </w:r>
      <w:r>
        <w:rPr>
          <w:rFonts w:hint="eastAsia" w:ascii="Times New Roman"/>
          <w:color w:val="000000"/>
        </w:rPr>
        <w:t>测定聚合物和电子件中的多环芳烃（PAHs）</w:t>
      </w:r>
    </w:p>
    <w:p>
      <w:pPr>
        <w:pStyle w:val="29"/>
        <w:tabs>
          <w:tab w:val="clear" w:pos="4201"/>
          <w:tab w:val="clear" w:pos="9298"/>
        </w:tabs>
        <w:ind w:firstLine="0" w:firstLineChars="0"/>
        <w:rPr>
          <w:rFonts w:ascii="Times New Roman"/>
          <w:color w:val="000000"/>
        </w:rPr>
      </w:pPr>
      <w:r>
        <w:rPr>
          <w:rFonts w:hint="eastAsia" w:ascii="Times New Roman"/>
          <w:color w:val="000000"/>
        </w:rPr>
        <w:t xml:space="preserve">    本文件为GB/T 39560的第10部分。</w:t>
      </w:r>
    </w:p>
    <w:p>
      <w:pPr>
        <w:pStyle w:val="29"/>
        <w:rPr>
          <w:rFonts w:ascii="Times New Roman"/>
          <w:color w:val="000000"/>
        </w:rPr>
      </w:pPr>
      <w:r>
        <w:rPr>
          <w:rFonts w:hint="eastAsia" w:ascii="Times New Roman"/>
          <w:color w:val="000000"/>
        </w:rPr>
        <w:t>本文件</w:t>
      </w:r>
      <w:r>
        <w:rPr>
          <w:rFonts w:ascii="Times New Roman"/>
          <w:color w:val="000000"/>
        </w:rPr>
        <w:t>按照GB/T 1.1-</w:t>
      </w:r>
      <w:r>
        <w:rPr>
          <w:rFonts w:hint="eastAsia" w:ascii="Times New Roman"/>
          <w:color w:val="000000"/>
        </w:rPr>
        <w:t>2020</w:t>
      </w:r>
      <w:r>
        <w:rPr>
          <w:rFonts w:ascii="Times New Roman"/>
          <w:color w:val="000000"/>
        </w:rPr>
        <w:t>给出的规则起草。</w:t>
      </w:r>
    </w:p>
    <w:p>
      <w:pPr>
        <w:pStyle w:val="29"/>
        <w:rPr>
          <w:rFonts w:ascii="Times New Roman"/>
          <w:color w:val="000000"/>
        </w:rPr>
      </w:pPr>
      <w:r>
        <w:rPr>
          <w:rFonts w:hint="eastAsia" w:ascii="Times New Roman"/>
          <w:color w:val="000000"/>
        </w:rPr>
        <w:t>本文件</w:t>
      </w:r>
      <w:r>
        <w:rPr>
          <w:rFonts w:ascii="Times New Roman"/>
          <w:color w:val="000000"/>
        </w:rPr>
        <w:t>使用翻译法等同采用</w:t>
      </w:r>
      <w:r>
        <w:rPr>
          <w:rFonts w:hint="eastAsia" w:ascii="Times New Roman"/>
          <w:color w:val="000000"/>
        </w:rPr>
        <w:t>IEC 62321-10：2020</w:t>
      </w:r>
      <w:r>
        <w:rPr>
          <w:rFonts w:ascii="Times New Roman"/>
          <w:color w:val="000000"/>
        </w:rPr>
        <w:t xml:space="preserve"> 《</w:t>
      </w:r>
      <w:r>
        <w:rPr>
          <w:rFonts w:hint="eastAsia" w:ascii="Times New Roman"/>
          <w:color w:val="000000"/>
        </w:rPr>
        <w:t>电工电子产品中某些物质的测定  第10部分： 气相色谱</w:t>
      </w:r>
      <w:r>
        <w:rPr>
          <w:rFonts w:hint="eastAsia" w:ascii="Times New Roman"/>
          <w:color w:val="000000"/>
          <w:lang w:val="en-US" w:eastAsia="zh-CN"/>
        </w:rPr>
        <w:t>-</w:t>
      </w:r>
      <w:r>
        <w:rPr>
          <w:rFonts w:hint="eastAsia" w:ascii="Times New Roman"/>
          <w:color w:val="000000"/>
        </w:rPr>
        <w:t>质谱法 (GC-MS)测定聚合物和电子件中的多环芳烃（PAHs）</w:t>
      </w:r>
      <w:r>
        <w:rPr>
          <w:rFonts w:ascii="Times New Roman"/>
          <w:color w:val="000000"/>
        </w:rPr>
        <w:t>》[</w:t>
      </w:r>
      <w:r>
        <w:rPr>
          <w:rFonts w:hint="eastAsia" w:ascii="Times New Roman"/>
          <w:color w:val="000000"/>
        </w:rPr>
        <w:t>Determination of certain substances in electrotechnical products - Part 10: Polycyclic aromatic hydrocarbons (PAHs) in polymers and electronics by gas chromatography-mass spectrometry (GC-MS)</w:t>
      </w:r>
      <w:r>
        <w:rPr>
          <w:rFonts w:ascii="Times New Roman"/>
          <w:color w:val="000000"/>
        </w:rPr>
        <w:t xml:space="preserve">]。 </w:t>
      </w:r>
    </w:p>
    <w:p>
      <w:pPr>
        <w:pStyle w:val="29"/>
        <w:rPr>
          <w:rFonts w:ascii="Times New Roman"/>
          <w:color w:val="000000"/>
        </w:rPr>
      </w:pPr>
      <w:r>
        <w:rPr>
          <w:rFonts w:hint="eastAsia" w:ascii="Times New Roman"/>
          <w:color w:val="000000"/>
        </w:rPr>
        <w:t>本文件</w:t>
      </w:r>
      <w:r>
        <w:rPr>
          <w:rFonts w:ascii="Times New Roman"/>
          <w:color w:val="000000"/>
        </w:rPr>
        <w:t>做了下列编辑性修改：</w:t>
      </w:r>
    </w:p>
    <w:p>
      <w:pPr>
        <w:pStyle w:val="29"/>
        <w:ind w:left="840" w:leftChars="200" w:hanging="420" w:hangingChars="200"/>
        <w:rPr>
          <w:rFonts w:ascii="Times New Roman"/>
          <w:color w:val="000000"/>
        </w:rPr>
      </w:pPr>
      <w:r>
        <w:rPr>
          <w:rFonts w:ascii="Times New Roman"/>
          <w:color w:val="000000"/>
        </w:rPr>
        <w:t>——为了与我国现有标准系列一致，将标准名称改为</w:t>
      </w:r>
      <w:r>
        <w:rPr>
          <w:rFonts w:hint="eastAsia" w:ascii="Times New Roman"/>
          <w:color w:val="000000"/>
        </w:rPr>
        <w:t>“电子电气产品中某些物质的测定  第10部分： 气相色谱</w:t>
      </w:r>
      <w:r>
        <w:rPr>
          <w:rFonts w:hint="eastAsia" w:ascii="Times New Roman"/>
          <w:color w:val="000000"/>
          <w:lang w:val="en-US" w:eastAsia="zh-CN"/>
        </w:rPr>
        <w:t>-</w:t>
      </w:r>
      <w:r>
        <w:rPr>
          <w:rFonts w:hint="eastAsia" w:ascii="Times New Roman"/>
          <w:color w:val="000000"/>
        </w:rPr>
        <w:t>质谱法 (GC-MS)测定聚合物和电子件中的多环芳烃（PAHs）”</w:t>
      </w:r>
      <w:r>
        <w:rPr>
          <w:rFonts w:ascii="Times New Roman"/>
          <w:color w:val="000000"/>
        </w:rPr>
        <w:t>；</w:t>
      </w:r>
    </w:p>
    <w:p>
      <w:pPr>
        <w:pStyle w:val="29"/>
        <w:ind w:left="850" w:leftChars="204" w:hanging="422" w:hangingChars="201"/>
        <w:rPr>
          <w:rFonts w:ascii="Times New Roman"/>
          <w:color w:val="000000"/>
        </w:rPr>
      </w:pPr>
      <w:r>
        <w:rPr>
          <w:rFonts w:ascii="Times New Roman"/>
          <w:color w:val="000000"/>
        </w:rPr>
        <w:t>——</w:t>
      </w:r>
      <w:r>
        <w:rPr>
          <w:rFonts w:hint="eastAsia" w:ascii="Times New Roman"/>
          <w:color w:val="000000"/>
        </w:rPr>
        <w:t>将“豁免”改为“应用例外”；</w:t>
      </w:r>
    </w:p>
    <w:p>
      <w:pPr>
        <w:pStyle w:val="29"/>
        <w:rPr>
          <w:rFonts w:ascii="Times New Roman"/>
          <w:color w:val="000000"/>
        </w:rPr>
      </w:pPr>
      <w:r>
        <w:rPr>
          <w:rFonts w:ascii="Times New Roman"/>
          <w:color w:val="000000"/>
        </w:rPr>
        <w:t>与</w:t>
      </w:r>
      <w:r>
        <w:rPr>
          <w:rFonts w:hint="eastAsia" w:ascii="Times New Roman"/>
          <w:color w:val="000000"/>
        </w:rPr>
        <w:t>本文件</w:t>
      </w:r>
      <w:r>
        <w:rPr>
          <w:rFonts w:ascii="Times New Roman"/>
          <w:color w:val="000000"/>
        </w:rPr>
        <w:t>中规范性引用的国际文件有一致性对应关系的我国文件如下：</w:t>
      </w:r>
    </w:p>
    <w:p>
      <w:pPr>
        <w:autoSpaceDE w:val="0"/>
        <w:autoSpaceDN w:val="0"/>
        <w:adjustRightInd w:val="0"/>
        <w:ind w:firstLine="420" w:firstLineChars="200"/>
        <w:jc w:val="left"/>
      </w:pPr>
      <w:r>
        <w:rPr>
          <w:color w:val="000000"/>
        </w:rPr>
        <w:t>——</w:t>
      </w:r>
      <w:r>
        <w:rPr>
          <w:rFonts w:hint="eastAsia"/>
        </w:rPr>
        <w:t>GB/Z 30374-2013 电子电气产品中限用物质评价指南</w:t>
      </w:r>
      <w:r>
        <w:t>（</w:t>
      </w:r>
      <w:r>
        <w:rPr>
          <w:rFonts w:hint="eastAsia"/>
        </w:rPr>
        <w:t>IEC/TR 62476:2010</w:t>
      </w:r>
      <w:r>
        <w:t>，</w:t>
      </w:r>
      <w:r>
        <w:rPr>
          <w:rFonts w:hint="eastAsia"/>
        </w:rPr>
        <w:t>IDT</w:t>
      </w:r>
      <w:r>
        <w:t>）</w:t>
      </w:r>
      <w:r>
        <w:rPr>
          <w:rFonts w:hint="eastAsia"/>
        </w:rPr>
        <w:t>；</w:t>
      </w:r>
    </w:p>
    <w:p>
      <w:pPr>
        <w:autoSpaceDE w:val="0"/>
        <w:autoSpaceDN w:val="0"/>
        <w:adjustRightInd w:val="0"/>
        <w:ind w:firstLine="420" w:firstLineChars="200"/>
        <w:jc w:val="left"/>
      </w:pPr>
      <w:r>
        <w:rPr>
          <w:rStyle w:val="219"/>
          <w:rFonts w:ascii="Times New Roman" w:hAnsi="Times New Roman" w:cs="Times New Roman" w:eastAsiaTheme="minorEastAsia"/>
          <w:iCs/>
          <w:color w:val="000000"/>
          <w:sz w:val="21"/>
          <w:szCs w:val="21"/>
        </w:rPr>
        <w:t>——</w:t>
      </w:r>
      <w:r>
        <w:rPr>
          <w:rStyle w:val="219"/>
          <w:rFonts w:hint="eastAsia" w:ascii="Times New Roman" w:hAnsi="Times New Roman" w:cs="Times New Roman" w:eastAsiaTheme="minorEastAsia"/>
          <w:iCs/>
          <w:color w:val="000000"/>
          <w:sz w:val="21"/>
          <w:szCs w:val="21"/>
        </w:rPr>
        <w:t>GB/Z 32582-2016</w:t>
      </w:r>
      <w:r>
        <w:rPr>
          <w:rStyle w:val="219"/>
          <w:rFonts w:ascii="Times New Roman" w:hAnsi="Times New Roman" w:cs="Times New Roman" w:eastAsiaTheme="minorEastAsia"/>
          <w:iCs/>
          <w:color w:val="000000"/>
          <w:sz w:val="21"/>
          <w:szCs w:val="21"/>
        </w:rPr>
        <w:t>，</w:t>
      </w:r>
      <w:r>
        <w:rPr>
          <w:rStyle w:val="219"/>
          <w:rFonts w:hint="eastAsia" w:ascii="Times New Roman" w:hAnsi="Times New Roman" w:cs="Times New Roman" w:eastAsiaTheme="minorEastAsia"/>
          <w:iCs/>
          <w:color w:val="000000"/>
          <w:sz w:val="21"/>
          <w:szCs w:val="21"/>
        </w:rPr>
        <w:t>电子电气产品与系统环境标准化 环境因素标准化 术语</w:t>
      </w:r>
      <w:r>
        <w:rPr>
          <w:rStyle w:val="219"/>
          <w:rFonts w:hint="eastAsia" w:cs="Times New Roman" w:eastAsiaTheme="minorEastAsia"/>
          <w:iCs/>
          <w:color w:val="000000"/>
          <w:sz w:val="21"/>
          <w:szCs w:val="21"/>
        </w:rPr>
        <w:t>（</w:t>
      </w:r>
      <w:r>
        <w:rPr>
          <w:rStyle w:val="219"/>
          <w:rFonts w:hint="default" w:ascii="Times New Roman" w:hAnsi="Times New Roman" w:cs="Times New Roman" w:eastAsiaTheme="minorEastAsia"/>
          <w:iCs/>
          <w:color w:val="000000"/>
          <w:sz w:val="21"/>
          <w:szCs w:val="21"/>
        </w:rPr>
        <w:t>IEC 62542 FDIS:2013，MOD</w:t>
      </w:r>
      <w:r>
        <w:rPr>
          <w:rStyle w:val="219"/>
          <w:rFonts w:hint="eastAsia" w:cs="Times New Roman" w:eastAsiaTheme="minorEastAsia"/>
          <w:iCs/>
          <w:color w:val="000000"/>
          <w:sz w:val="21"/>
          <w:szCs w:val="21"/>
        </w:rPr>
        <w:t>）</w:t>
      </w:r>
      <w:r>
        <w:t>。</w:t>
      </w:r>
    </w:p>
    <w:p>
      <w:pPr>
        <w:pStyle w:val="29"/>
        <w:rPr>
          <w:rFonts w:ascii="Times New Roman"/>
          <w:color w:val="000000"/>
        </w:rPr>
      </w:pPr>
      <w:r>
        <w:rPr>
          <w:rFonts w:hint="eastAsia" w:ascii="Times New Roman"/>
          <w:color w:val="000000"/>
        </w:rPr>
        <w:t>本文件</w:t>
      </w:r>
      <w:r>
        <w:rPr>
          <w:rFonts w:ascii="Times New Roman"/>
          <w:color w:val="000000"/>
        </w:rPr>
        <w:t>由全国电工电子产品与系统的环境标准化技术委员会（SAC/TC297）提出并归口。</w:t>
      </w:r>
    </w:p>
    <w:p>
      <w:pPr>
        <w:pStyle w:val="29"/>
        <w:rPr>
          <w:rFonts w:ascii="Times New Roman"/>
          <w:color w:val="000000"/>
        </w:rPr>
      </w:pPr>
      <w:r>
        <w:rPr>
          <w:rFonts w:hint="eastAsia" w:ascii="Times New Roman"/>
          <w:color w:val="000000"/>
        </w:rPr>
        <w:t>本文件</w:t>
      </w:r>
      <w:r>
        <w:rPr>
          <w:rFonts w:ascii="Times New Roman"/>
          <w:color w:val="000000"/>
        </w:rPr>
        <w:t>起草单位：</w:t>
      </w:r>
      <w:r>
        <w:rPr>
          <w:rFonts w:hint="eastAsia" w:ascii="Times New Roman"/>
          <w:color w:val="000000"/>
        </w:rPr>
        <w:t>XXX。</w:t>
      </w:r>
    </w:p>
    <w:p>
      <w:pPr>
        <w:pStyle w:val="29"/>
        <w:rPr>
          <w:rFonts w:ascii="Times New Roman"/>
          <w:color w:val="000000"/>
        </w:rPr>
      </w:pPr>
      <w:r>
        <w:rPr>
          <w:rFonts w:hint="eastAsia" w:ascii="Times New Roman"/>
          <w:color w:val="000000"/>
        </w:rPr>
        <w:t>本文件主要起草人：XXX。</w:t>
      </w:r>
    </w:p>
    <w:bookmarkEnd w:id="12"/>
    <w:p>
      <w:pPr>
        <w:pStyle w:val="117"/>
        <w:rPr>
          <w:rFonts w:hint="eastAsia" w:ascii="Times New Roman"/>
        </w:rPr>
        <w:sectPr>
          <w:headerReference r:id="rId3" w:type="default"/>
          <w:footerReference r:id="rId5" w:type="default"/>
          <w:headerReference r:id="rId4" w:type="even"/>
          <w:footerReference r:id="rId6" w:type="even"/>
          <w:pgSz w:w="11906" w:h="16838"/>
          <w:pgMar w:top="567" w:right="1134" w:bottom="1134" w:left="1418" w:header="1418" w:footer="1134" w:gutter="0"/>
          <w:pgNumType w:fmt="upperRoman" w:start="1"/>
          <w:cols w:space="425" w:num="1"/>
          <w:formProt w:val="0"/>
          <w:docGrid w:type="lines" w:linePitch="312" w:charSpace="0"/>
        </w:sectPr>
      </w:pPr>
    </w:p>
    <w:p>
      <w:pPr>
        <w:pStyle w:val="55"/>
        <w:rPr>
          <w:rFonts w:ascii="Times New Roman"/>
        </w:rPr>
      </w:pPr>
      <w:bookmarkStart w:id="14" w:name="_Toc19761"/>
      <w:bookmarkStart w:id="15" w:name="_Toc23264"/>
      <w:r>
        <w:rPr>
          <w:rFonts w:ascii="Times New Roman"/>
        </w:rPr>
        <w:t>电子电气产品中某些物质的测定——</w:t>
      </w:r>
      <w:r>
        <w:rPr>
          <w:rFonts w:hint="eastAsia" w:ascii="Times New Roman"/>
        </w:rPr>
        <w:br w:type="textWrapping"/>
      </w:r>
      <w:r>
        <w:rPr>
          <w:rFonts w:ascii="Times New Roman"/>
        </w:rPr>
        <w:t>第10部分：气相色谱</w:t>
      </w:r>
      <w:r>
        <w:rPr>
          <w:rFonts w:hint="eastAsia" w:ascii="Times New Roman"/>
          <w:lang w:val="en-US" w:eastAsia="zh-CN"/>
        </w:rPr>
        <w:t>-</w:t>
      </w:r>
      <w:r>
        <w:rPr>
          <w:rFonts w:ascii="Times New Roman"/>
        </w:rPr>
        <w:t>质谱法（GC-MS）测定聚合物和电子件中的多环芳烃（PAHs）</w:t>
      </w:r>
      <w:bookmarkEnd w:id="14"/>
      <w:bookmarkEnd w:id="15"/>
    </w:p>
    <w:p>
      <w:pPr>
        <w:pStyle w:val="29"/>
        <w:rPr>
          <w:rFonts w:hint="eastAsia" w:ascii="黑体" w:hAnsi="黑体" w:eastAsia="黑体" w:cs="黑体"/>
        </w:rPr>
      </w:pPr>
      <w:r>
        <w:rPr>
          <w:rFonts w:hint="eastAsia" w:ascii="黑体" w:hAnsi="黑体" w:eastAsia="黑体" w:cs="黑体"/>
          <w:color w:val="000000"/>
          <w:szCs w:val="21"/>
        </w:rPr>
        <w:t>警</w:t>
      </w:r>
      <w:r>
        <w:rPr>
          <w:rFonts w:hint="eastAsia" w:ascii="黑体" w:hAnsi="黑体" w:eastAsia="黑体" w:cs="黑体"/>
          <w:color w:val="000000"/>
          <w:szCs w:val="21"/>
          <w:lang w:val="en-US" w:eastAsia="zh-CN"/>
        </w:rPr>
        <w:t>示</w:t>
      </w:r>
      <w:r>
        <w:rPr>
          <w:rFonts w:hint="eastAsia" w:ascii="黑体" w:hAnsi="黑体" w:eastAsia="黑体" w:cs="黑体"/>
          <w:color w:val="000000"/>
          <w:szCs w:val="21"/>
        </w:rPr>
        <w:t>——使用本部分的人员应有正规实验室工作的实践经验。本部分并未指出所有可能的安全问题。使用者有责任采取适当的安全和健康措施，并保证符合国家有关法规规定的条件。</w:t>
      </w:r>
    </w:p>
    <w:p>
      <w:pPr>
        <w:widowControl/>
        <w:spacing w:before="312" w:beforeLines="100" w:after="312" w:afterLines="100"/>
        <w:outlineLvl w:val="0"/>
        <w:rPr>
          <w:rFonts w:ascii="黑体" w:hAnsi="黑体" w:eastAsia="黑体"/>
          <w:kern w:val="0"/>
          <w:szCs w:val="20"/>
        </w:rPr>
      </w:pPr>
      <w:bookmarkStart w:id="16" w:name="_Toc16104"/>
      <w:bookmarkStart w:id="17" w:name="_Toc20317"/>
      <w:r>
        <w:rPr>
          <w:rFonts w:ascii="黑体" w:hAnsi="黑体" w:eastAsia="黑体"/>
          <w:kern w:val="0"/>
          <w:szCs w:val="20"/>
        </w:rPr>
        <w:t>1 范围</w:t>
      </w:r>
      <w:bookmarkEnd w:id="16"/>
      <w:bookmarkEnd w:id="17"/>
    </w:p>
    <w:p>
      <w:pPr>
        <w:ind w:firstLine="420" w:firstLineChars="200"/>
        <w:rPr>
          <w:szCs w:val="21"/>
        </w:rPr>
      </w:pPr>
      <w:r>
        <w:rPr>
          <w:rFonts w:hint="eastAsia"/>
          <w:szCs w:val="21"/>
          <w:lang w:val="en-US" w:eastAsia="zh-CN"/>
        </w:rPr>
        <w:t>GB/T</w:t>
      </w:r>
      <w:r>
        <w:rPr>
          <w:szCs w:val="21"/>
        </w:rPr>
        <w:t xml:space="preserve"> </w:t>
      </w:r>
      <w:r>
        <w:rPr>
          <w:rFonts w:hint="eastAsia"/>
          <w:szCs w:val="21"/>
          <w:lang w:val="en-US" w:eastAsia="zh-CN"/>
        </w:rPr>
        <w:t>39560</w:t>
      </w:r>
      <w:r>
        <w:rPr>
          <w:szCs w:val="21"/>
        </w:rPr>
        <w:t>的本部分规定了一种用于测定电子电气产品聚合物中多环芳烃（PAH</w:t>
      </w:r>
      <w:r>
        <w:rPr>
          <w:rFonts w:hint="eastAsia"/>
          <w:szCs w:val="21"/>
          <w:lang w:val="en-US" w:eastAsia="zh-CN"/>
        </w:rPr>
        <w:t>s</w:t>
      </w:r>
      <w:r>
        <w:rPr>
          <w:szCs w:val="21"/>
        </w:rPr>
        <w:t>）的规范性技术。这些PAH</w:t>
      </w:r>
      <w:r>
        <w:rPr>
          <w:rFonts w:hint="eastAsia"/>
          <w:szCs w:val="21"/>
          <w:lang w:val="en-US" w:eastAsia="zh-CN"/>
        </w:rPr>
        <w:t>s</w:t>
      </w:r>
      <w:r>
        <w:rPr>
          <w:szCs w:val="21"/>
        </w:rPr>
        <w:t>尤其</w:t>
      </w:r>
      <w:r>
        <w:rPr>
          <w:rFonts w:hint="eastAsia"/>
          <w:szCs w:val="21"/>
          <w:lang w:val="en-US" w:eastAsia="zh-CN"/>
        </w:rPr>
        <w:t>被发现</w:t>
      </w:r>
      <w:r>
        <w:rPr>
          <w:szCs w:val="21"/>
        </w:rPr>
        <w:t>存在于</w:t>
      </w:r>
      <w:r>
        <w:rPr>
          <w:rFonts w:hint="eastAsia"/>
          <w:szCs w:val="21"/>
          <w:u w:val="dotted"/>
          <w:lang w:val="en-US" w:eastAsia="zh-CN"/>
        </w:rPr>
        <w:t>大量</w:t>
      </w:r>
      <w:r>
        <w:rPr>
          <w:szCs w:val="21"/>
        </w:rPr>
        <w:t>消费品的塑料和橡胶部件中。它们作为杂质存在于用于生产此类制品的一些原材料中，特别是填充油和炭黑。这些杂质并非有意添加到制品当中，也不会作为塑料或橡胶部件的组成部分发挥任何特定功能。</w:t>
      </w:r>
    </w:p>
    <w:p>
      <w:pPr>
        <w:ind w:firstLine="420" w:firstLineChars="200"/>
        <w:rPr>
          <w:szCs w:val="21"/>
        </w:rPr>
      </w:pPr>
      <w:r>
        <w:rPr>
          <w:szCs w:val="21"/>
        </w:rPr>
        <w:t>气相色谱</w:t>
      </w:r>
      <w:r>
        <w:rPr>
          <w:rFonts w:hint="eastAsia"/>
          <w:szCs w:val="21"/>
          <w:lang w:val="en-US" w:eastAsia="zh-CN"/>
        </w:rPr>
        <w:t>-</w:t>
      </w:r>
      <w:r>
        <w:rPr>
          <w:szCs w:val="21"/>
        </w:rPr>
        <w:t>质谱</w:t>
      </w:r>
      <w:r>
        <w:rPr>
          <w:rFonts w:hint="eastAsia"/>
          <w:szCs w:val="21"/>
          <w:lang w:val="en-US" w:eastAsia="zh-CN"/>
        </w:rPr>
        <w:t>法</w:t>
      </w:r>
      <w:r>
        <w:rPr>
          <w:szCs w:val="21"/>
        </w:rPr>
        <w:t>（GC-MS）测试方法适用于测定多环芳烃（PAHs）。</w:t>
      </w:r>
    </w:p>
    <w:p>
      <w:pPr>
        <w:ind w:firstLine="420" w:firstLineChars="200"/>
        <w:rPr>
          <w:szCs w:val="21"/>
        </w:rPr>
      </w:pPr>
      <w:r>
        <w:rPr>
          <w:rFonts w:hint="eastAsia"/>
          <w:szCs w:val="21"/>
          <w:lang w:val="en-US" w:eastAsia="zh-CN"/>
        </w:rPr>
        <w:t>本文件的</w:t>
      </w:r>
      <w:r>
        <w:rPr>
          <w:szCs w:val="21"/>
        </w:rPr>
        <w:t>测试方法</w:t>
      </w:r>
      <w:r>
        <w:rPr>
          <w:rFonts w:hint="eastAsia"/>
          <w:szCs w:val="21"/>
          <w:lang w:val="en-US" w:eastAsia="zh-CN"/>
        </w:rPr>
        <w:t>已对</w:t>
      </w:r>
      <w:r>
        <w:rPr>
          <w:szCs w:val="21"/>
        </w:rPr>
        <w:t>塑料和橡胶</w:t>
      </w:r>
      <w:r>
        <w:rPr>
          <w:rFonts w:hint="eastAsia"/>
          <w:szCs w:val="21"/>
          <w:lang w:val="en-US" w:eastAsia="zh-CN"/>
        </w:rPr>
        <w:t>材料进行了验证</w:t>
      </w:r>
      <w:r>
        <w:rPr>
          <w:szCs w:val="21"/>
        </w:rPr>
        <w:t>，</w:t>
      </w:r>
      <w:r>
        <w:rPr>
          <w:rFonts w:hint="eastAsia"/>
          <w:szCs w:val="21"/>
          <w:lang w:val="en-US" w:eastAsia="zh-CN"/>
        </w:rPr>
        <w:t>包括</w:t>
      </w:r>
      <w:r>
        <w:rPr>
          <w:szCs w:val="21"/>
        </w:rPr>
        <w:t>单个PAH含量为37</w:t>
      </w:r>
      <w:r>
        <w:rPr>
          <w:rFonts w:hint="eastAsia"/>
          <w:szCs w:val="21"/>
          <w:lang w:val="en-US" w:eastAsia="zh-CN"/>
        </w:rPr>
        <w:t>.</w:t>
      </w:r>
      <w:r>
        <w:rPr>
          <w:szCs w:val="21"/>
        </w:rPr>
        <w:t>2 mg/kg至119 mg/kg的ABS（丙烯腈-丁二烯-苯乙烯</w:t>
      </w:r>
      <w:r>
        <w:rPr>
          <w:szCs w:val="21"/>
          <w:shd w:val="clear"/>
        </w:rPr>
        <w:t>共聚物</w:t>
      </w:r>
      <w:r>
        <w:rPr>
          <w:szCs w:val="21"/>
        </w:rPr>
        <w:t>）和单个PAH含量为1 mg/kg至221.2 mg/kg的橡胶。</w:t>
      </w:r>
      <w:bookmarkStart w:id="49" w:name="_GoBack"/>
      <w:bookmarkEnd w:id="49"/>
    </w:p>
    <w:p>
      <w:pPr>
        <w:widowControl/>
        <w:spacing w:before="312" w:beforeLines="100" w:after="312" w:afterLines="100"/>
        <w:outlineLvl w:val="0"/>
        <w:rPr>
          <w:rFonts w:ascii="黑体" w:hAnsi="黑体" w:eastAsia="黑体"/>
          <w:kern w:val="0"/>
          <w:szCs w:val="20"/>
        </w:rPr>
      </w:pPr>
      <w:bookmarkStart w:id="18" w:name="_Toc3609"/>
      <w:bookmarkStart w:id="19" w:name="_Toc30752"/>
      <w:r>
        <w:rPr>
          <w:rFonts w:ascii="黑体" w:hAnsi="黑体" w:eastAsia="黑体"/>
          <w:kern w:val="0"/>
          <w:szCs w:val="20"/>
        </w:rPr>
        <w:t>2 规范性引用文件</w:t>
      </w:r>
      <w:bookmarkEnd w:id="18"/>
      <w:bookmarkEnd w:id="19"/>
    </w:p>
    <w:p>
      <w:pPr>
        <w:ind w:firstLine="420" w:firstLineChars="200"/>
        <w:rPr>
          <w:szCs w:val="21"/>
        </w:rPr>
      </w:pPr>
      <w:r>
        <w:rPr>
          <w:rFonts w:hint="eastAsia"/>
          <w:szCs w:val="21"/>
          <w:lang w:val="en-US" w:eastAsia="zh-CN"/>
        </w:rPr>
        <w:t>下列文件中的内容通过文中的规范性引用而构成本文件必不可少的条款。其中，</w:t>
      </w:r>
      <w:r>
        <w:rPr>
          <w:szCs w:val="21"/>
        </w:rPr>
        <w:t>注日期的引用文件，仅</w:t>
      </w:r>
      <w:r>
        <w:rPr>
          <w:rFonts w:hint="eastAsia"/>
          <w:szCs w:val="21"/>
          <w:u w:val="dotted"/>
          <w:lang w:val="en-US" w:eastAsia="zh-CN"/>
        </w:rPr>
        <w:t>该</w:t>
      </w:r>
      <w:r>
        <w:rPr>
          <w:szCs w:val="21"/>
        </w:rPr>
        <w:t>日期</w:t>
      </w:r>
      <w:r>
        <w:rPr>
          <w:rFonts w:hint="eastAsia"/>
          <w:szCs w:val="21"/>
          <w:lang w:val="en-US" w:eastAsia="zh-CN"/>
        </w:rPr>
        <w:t>对应</w:t>
      </w:r>
      <w:r>
        <w:rPr>
          <w:szCs w:val="21"/>
        </w:rPr>
        <w:t>的版本适用于本</w:t>
      </w:r>
      <w:r>
        <w:rPr>
          <w:rFonts w:hint="eastAsia"/>
          <w:szCs w:val="21"/>
          <w:lang w:val="en-US" w:eastAsia="zh-CN"/>
        </w:rPr>
        <w:t>文件;</w:t>
      </w:r>
      <w:r>
        <w:rPr>
          <w:szCs w:val="21"/>
        </w:rPr>
        <w:t>不注日期的引用文件，其最新版本（包括所有的修改单）适用于本</w:t>
      </w:r>
      <w:r>
        <w:rPr>
          <w:rFonts w:hint="eastAsia"/>
          <w:szCs w:val="21"/>
          <w:lang w:val="en-US" w:eastAsia="zh-CN"/>
        </w:rPr>
        <w:t>文件</w:t>
      </w:r>
      <w:r>
        <w:rPr>
          <w:szCs w:val="21"/>
        </w:rPr>
        <w:t>。</w:t>
      </w:r>
    </w:p>
    <w:p>
      <w:pPr>
        <w:ind w:firstLine="420" w:firstLineChars="200"/>
        <w:rPr>
          <w:rFonts w:hint="eastAsia"/>
          <w:i w:val="0"/>
          <w:iCs w:val="0"/>
          <w:szCs w:val="21"/>
          <w:lang w:val="en-US" w:eastAsia="zh-CN"/>
        </w:rPr>
      </w:pPr>
      <w:r>
        <w:rPr>
          <w:rFonts w:hint="eastAsia"/>
          <w:i w:val="0"/>
          <w:iCs w:val="0"/>
          <w:szCs w:val="21"/>
          <w:lang w:val="en-US" w:eastAsia="zh-CN"/>
        </w:rPr>
        <w:t>GB/T 39560.</w:t>
      </w:r>
      <w:r>
        <w:rPr>
          <w:i w:val="0"/>
          <w:iCs w:val="0"/>
          <w:szCs w:val="21"/>
        </w:rPr>
        <w:t>1</w:t>
      </w:r>
      <w:r>
        <w:rPr>
          <w:rFonts w:hint="eastAsia"/>
          <w:i w:val="0"/>
          <w:iCs w:val="0"/>
          <w:szCs w:val="21"/>
          <w:lang w:val="en-US" w:eastAsia="zh-CN"/>
        </w:rPr>
        <w:t>-</w:t>
      </w:r>
      <w:r>
        <w:rPr>
          <w:i w:val="0"/>
          <w:iCs w:val="0"/>
          <w:szCs w:val="21"/>
        </w:rPr>
        <w:t>20</w:t>
      </w:r>
      <w:r>
        <w:rPr>
          <w:rFonts w:hint="eastAsia"/>
          <w:i w:val="0"/>
          <w:iCs w:val="0"/>
          <w:szCs w:val="21"/>
          <w:lang w:val="en-US" w:eastAsia="zh-CN"/>
        </w:rPr>
        <w:t>20,</w:t>
      </w:r>
      <w:r>
        <w:rPr>
          <w:i w:val="0"/>
          <w:iCs w:val="0"/>
          <w:szCs w:val="21"/>
        </w:rPr>
        <w:t>电子电气产品中某些物质的测定——第1部分：介绍和概述</w:t>
      </w:r>
      <w:r>
        <w:rPr>
          <w:rFonts w:hint="eastAsia"/>
          <w:i w:val="0"/>
          <w:iCs w:val="0"/>
          <w:szCs w:val="21"/>
          <w:lang w:val="en-US" w:eastAsia="zh-CN"/>
        </w:rPr>
        <w:t>(IEC 62321-1:2013，IDT)</w:t>
      </w:r>
    </w:p>
    <w:p>
      <w:pPr>
        <w:ind w:firstLine="420" w:firstLineChars="200"/>
        <w:rPr>
          <w:rFonts w:hint="eastAsia" w:eastAsia="宋体"/>
          <w:i w:val="0"/>
          <w:iCs w:val="0"/>
          <w:szCs w:val="21"/>
          <w:lang w:val="en-US" w:eastAsia="zh-CN"/>
        </w:rPr>
      </w:pPr>
      <w:r>
        <w:rPr>
          <w:rFonts w:hint="eastAsia"/>
          <w:i w:val="0"/>
          <w:iCs w:val="0"/>
          <w:szCs w:val="21"/>
          <w:lang w:val="en-US" w:eastAsia="zh-CN"/>
        </w:rPr>
        <w:t>GB/T</w:t>
      </w:r>
      <w:r>
        <w:rPr>
          <w:i w:val="0"/>
          <w:iCs w:val="0"/>
          <w:szCs w:val="21"/>
        </w:rPr>
        <w:t xml:space="preserve"> </w:t>
      </w:r>
      <w:r>
        <w:rPr>
          <w:rFonts w:hint="eastAsia"/>
          <w:i w:val="0"/>
          <w:iCs w:val="0"/>
          <w:szCs w:val="21"/>
          <w:lang w:val="en-US" w:eastAsia="zh-CN"/>
        </w:rPr>
        <w:t>39560.2-</w:t>
      </w:r>
      <w:r>
        <w:rPr>
          <w:i w:val="0"/>
          <w:iCs w:val="0"/>
          <w:szCs w:val="21"/>
        </w:rPr>
        <w:t>20</w:t>
      </w:r>
      <w:r>
        <w:rPr>
          <w:rFonts w:hint="eastAsia"/>
          <w:i w:val="0"/>
          <w:iCs w:val="0"/>
          <w:szCs w:val="21"/>
          <w:lang w:val="en-US" w:eastAsia="zh-CN"/>
        </w:rPr>
        <w:t>20</w:t>
      </w:r>
      <w:r>
        <w:rPr>
          <w:i w:val="0"/>
          <w:iCs w:val="0"/>
          <w:szCs w:val="21"/>
        </w:rPr>
        <w:t>，电子电气产品中某些物质的测定——第2部分：拆解、拆分和机械制样</w:t>
      </w:r>
      <w:r>
        <w:rPr>
          <w:rFonts w:hint="eastAsia"/>
          <w:i w:val="0"/>
          <w:iCs w:val="0"/>
          <w:szCs w:val="21"/>
          <w:lang w:val="en-US" w:eastAsia="zh-CN"/>
        </w:rPr>
        <w:t>(IEC 62321-2:2013，IDT)</w:t>
      </w:r>
    </w:p>
    <w:p>
      <w:pPr>
        <w:shd w:val="clear"/>
        <w:ind w:firstLine="420" w:firstLineChars="200"/>
        <w:rPr>
          <w:rFonts w:hint="eastAsia" w:eastAsia="宋体"/>
          <w:i w:val="0"/>
          <w:iCs w:val="0"/>
          <w:szCs w:val="21"/>
          <w:lang w:val="en-US" w:eastAsia="zh-CN"/>
        </w:rPr>
      </w:pPr>
      <w:r>
        <w:rPr>
          <w:rFonts w:hint="eastAsia"/>
          <w:i w:val="0"/>
          <w:iCs w:val="0"/>
          <w:szCs w:val="21"/>
          <w:lang w:val="en-US" w:eastAsia="zh-CN"/>
        </w:rPr>
        <w:t>GB/T 6682-2008</w:t>
      </w:r>
      <w:r>
        <w:rPr>
          <w:i w:val="0"/>
          <w:iCs w:val="0"/>
          <w:szCs w:val="21"/>
        </w:rPr>
        <w:t>，</w:t>
      </w:r>
      <w:r>
        <w:rPr>
          <w:rFonts w:hint="eastAsia"/>
          <w:i w:val="0"/>
          <w:iCs w:val="0"/>
          <w:szCs w:val="21"/>
          <w:lang w:val="en-US" w:eastAsia="zh-CN"/>
        </w:rPr>
        <w:t>分析实验室用水规格和试验方法(ISO 3696:1987，MOD)</w:t>
      </w:r>
    </w:p>
    <w:p>
      <w:pPr>
        <w:widowControl/>
        <w:spacing w:before="312" w:beforeLines="100" w:after="312" w:afterLines="100"/>
        <w:outlineLvl w:val="0"/>
        <w:rPr>
          <w:rFonts w:ascii="黑体" w:hAnsi="黑体" w:eastAsia="黑体"/>
          <w:kern w:val="0"/>
          <w:szCs w:val="20"/>
        </w:rPr>
      </w:pPr>
      <w:bookmarkStart w:id="20" w:name="_Toc12122"/>
      <w:bookmarkStart w:id="21" w:name="_Toc10798"/>
      <w:r>
        <w:rPr>
          <w:rFonts w:ascii="黑体" w:hAnsi="黑体" w:eastAsia="黑体"/>
          <w:kern w:val="0"/>
          <w:szCs w:val="20"/>
        </w:rPr>
        <w:t>3</w:t>
      </w:r>
      <w:r>
        <w:rPr>
          <w:rFonts w:hint="eastAsia" w:ascii="黑体" w:hAnsi="黑体" w:eastAsia="黑体"/>
          <w:kern w:val="0"/>
          <w:szCs w:val="20"/>
        </w:rPr>
        <w:t xml:space="preserve"> </w:t>
      </w:r>
      <w:r>
        <w:rPr>
          <w:rFonts w:ascii="黑体" w:hAnsi="黑体" w:eastAsia="黑体"/>
          <w:kern w:val="0"/>
          <w:szCs w:val="20"/>
        </w:rPr>
        <w:t>术语、定义与缩略语</w:t>
      </w:r>
      <w:bookmarkEnd w:id="20"/>
      <w:bookmarkEnd w:id="21"/>
    </w:p>
    <w:p>
      <w:pPr>
        <w:pStyle w:val="47"/>
      </w:pPr>
      <w:r>
        <w:t>3.1 术语和定义</w:t>
      </w:r>
    </w:p>
    <w:p>
      <w:pPr>
        <w:ind w:firstLine="420" w:firstLineChars="200"/>
        <w:rPr>
          <w:rFonts w:hint="eastAsia" w:eastAsia="宋体"/>
          <w:szCs w:val="21"/>
          <w:lang w:val="en-US" w:eastAsia="zh-CN"/>
        </w:rPr>
      </w:pPr>
      <w:r>
        <w:rPr>
          <w:rFonts w:hint="eastAsia"/>
          <w:szCs w:val="21"/>
          <w:lang w:val="en-US" w:eastAsia="zh-CN"/>
        </w:rPr>
        <w:t>本文件没有需要界定的术语和定义。</w:t>
      </w:r>
    </w:p>
    <w:p>
      <w:pPr>
        <w:pStyle w:val="47"/>
      </w:pPr>
      <w:r>
        <w:t>3.2 缩略语</w:t>
      </w:r>
    </w:p>
    <w:p>
      <w:pPr>
        <w:pStyle w:val="29"/>
        <w:rPr>
          <w:rFonts w:hint="eastAsia" w:eastAsia="宋体"/>
          <w:lang w:val="en-US" w:eastAsia="zh-CN"/>
        </w:rPr>
      </w:pPr>
      <w:r>
        <w:rPr>
          <w:rFonts w:hint="eastAsia"/>
          <w:lang w:val="en-US" w:eastAsia="zh-CN"/>
        </w:rPr>
        <w:t>下列缩略语适用于本文件。</w:t>
      </w:r>
    </w:p>
    <w:p>
      <w:pPr>
        <w:tabs>
          <w:tab w:val="left" w:pos="1418"/>
        </w:tabs>
        <w:ind w:firstLine="420" w:firstLineChars="200"/>
        <w:rPr>
          <w:rFonts w:hint="eastAsia" w:eastAsia="宋体"/>
          <w:szCs w:val="21"/>
          <w:lang w:val="en-US" w:eastAsia="zh-CN"/>
        </w:rPr>
      </w:pPr>
      <w:r>
        <w:rPr>
          <w:szCs w:val="21"/>
        </w:rPr>
        <w:t>ABS 丙烯腈-丁二烯-苯乙烯</w:t>
      </w:r>
      <w:r>
        <w:rPr>
          <w:rFonts w:hint="eastAsia"/>
          <w:szCs w:val="21"/>
          <w:lang w:val="en-US" w:eastAsia="zh-CN"/>
        </w:rPr>
        <w:t>共聚物(acrylonitrile butadiene styrene)</w:t>
      </w:r>
    </w:p>
    <w:p>
      <w:pPr>
        <w:tabs>
          <w:tab w:val="left" w:pos="1418"/>
        </w:tabs>
        <w:ind w:firstLine="420" w:firstLineChars="200"/>
        <w:rPr>
          <w:szCs w:val="21"/>
          <w:lang w:val="en-US"/>
        </w:rPr>
      </w:pPr>
      <w:r>
        <w:rPr>
          <w:szCs w:val="21"/>
        </w:rPr>
        <w:t>CCC 校准</w:t>
      </w:r>
      <w:r>
        <w:rPr>
          <w:rFonts w:hint="eastAsia"/>
          <w:szCs w:val="21"/>
          <w:lang w:val="en-US" w:eastAsia="zh-CN"/>
        </w:rPr>
        <w:t>曲线核查(continuing calibration check standard)</w:t>
      </w:r>
    </w:p>
    <w:p>
      <w:pPr>
        <w:tabs>
          <w:tab w:val="left" w:pos="1418"/>
        </w:tabs>
        <w:ind w:firstLine="420" w:firstLineChars="200"/>
        <w:rPr>
          <w:szCs w:val="21"/>
        </w:rPr>
        <w:sectPr>
          <w:headerReference r:id="rId7" w:type="default"/>
          <w:footerReference r:id="rId9" w:type="default"/>
          <w:headerReference r:id="rId8" w:type="even"/>
          <w:footerReference r:id="rId10" w:type="even"/>
          <w:pgSz w:w="11906" w:h="16838"/>
          <w:pgMar w:top="567" w:right="1134" w:bottom="1134" w:left="1418" w:header="1418" w:footer="1134" w:gutter="0"/>
          <w:pgNumType w:fmt="decimal" w:start="1"/>
          <w:cols w:space="425" w:num="1"/>
          <w:formProt w:val="0"/>
          <w:docGrid w:type="lines" w:linePitch="312" w:charSpace="0"/>
        </w:sectPr>
      </w:pPr>
    </w:p>
    <w:p>
      <w:pPr>
        <w:tabs>
          <w:tab w:val="left" w:pos="1418"/>
        </w:tabs>
        <w:ind w:firstLine="420" w:firstLineChars="200"/>
        <w:rPr>
          <w:rFonts w:hint="eastAsia" w:eastAsia="宋体"/>
          <w:szCs w:val="21"/>
          <w:lang w:val="en-US" w:eastAsia="zh-CN"/>
        </w:rPr>
      </w:pPr>
      <w:r>
        <w:rPr>
          <w:szCs w:val="21"/>
        </w:rPr>
        <w:t>EI 电子电离</w:t>
      </w:r>
      <w:r>
        <w:rPr>
          <w:rFonts w:hint="eastAsia"/>
          <w:szCs w:val="21"/>
          <w:lang w:val="en-US" w:eastAsia="zh-CN"/>
        </w:rPr>
        <w:t>(electron ionization)</w:t>
      </w:r>
    </w:p>
    <w:p>
      <w:pPr>
        <w:tabs>
          <w:tab w:val="left" w:pos="1418"/>
        </w:tabs>
        <w:ind w:firstLine="420" w:firstLineChars="200"/>
        <w:rPr>
          <w:rFonts w:hint="eastAsia" w:eastAsia="宋体"/>
          <w:szCs w:val="21"/>
          <w:lang w:val="en-US" w:eastAsia="zh-CN"/>
        </w:rPr>
      </w:pPr>
      <w:r>
        <w:rPr>
          <w:szCs w:val="21"/>
        </w:rPr>
        <w:t>GC-MS 气相色谱-质谱</w:t>
      </w:r>
      <w:r>
        <w:rPr>
          <w:rFonts w:hint="eastAsia"/>
          <w:szCs w:val="21"/>
          <w:lang w:val="en-US" w:eastAsia="zh-CN"/>
        </w:rPr>
        <w:t>仪(gas chromatography-mass spectrometry)</w:t>
      </w:r>
    </w:p>
    <w:p>
      <w:pPr>
        <w:tabs>
          <w:tab w:val="left" w:pos="1418"/>
        </w:tabs>
        <w:ind w:firstLine="420" w:firstLineChars="200"/>
        <w:rPr>
          <w:rFonts w:hint="eastAsia" w:eastAsia="宋体"/>
          <w:szCs w:val="21"/>
          <w:lang w:val="en-US" w:eastAsia="zh-CN"/>
        </w:rPr>
      </w:pPr>
      <w:r>
        <w:rPr>
          <w:szCs w:val="21"/>
        </w:rPr>
        <w:t>IS 内标物</w:t>
      </w:r>
      <w:r>
        <w:rPr>
          <w:rFonts w:hint="eastAsia"/>
          <w:szCs w:val="21"/>
          <w:lang w:val="en-US" w:eastAsia="zh-CN"/>
        </w:rPr>
        <w:t>(internal standard)</w:t>
      </w:r>
    </w:p>
    <w:p>
      <w:pPr>
        <w:tabs>
          <w:tab w:val="left" w:pos="1418"/>
        </w:tabs>
        <w:ind w:firstLine="420" w:firstLineChars="200"/>
        <w:rPr>
          <w:rFonts w:hint="eastAsia" w:eastAsia="宋体"/>
          <w:szCs w:val="21"/>
          <w:lang w:val="en-US" w:eastAsia="zh-CN"/>
        </w:rPr>
      </w:pPr>
      <w:r>
        <w:rPr>
          <w:szCs w:val="21"/>
        </w:rPr>
        <w:t>lUPAC 国际纯粹与应用化学联合会</w:t>
      </w:r>
      <w:r>
        <w:rPr>
          <w:rFonts w:hint="eastAsia"/>
          <w:szCs w:val="21"/>
          <w:lang w:val="en-US" w:eastAsia="zh-CN"/>
        </w:rPr>
        <w:t>(international Union of Pure and Applied Chemistry)</w:t>
      </w:r>
    </w:p>
    <w:p>
      <w:pPr>
        <w:tabs>
          <w:tab w:val="left" w:pos="1418"/>
        </w:tabs>
        <w:ind w:firstLine="420" w:firstLineChars="200"/>
        <w:rPr>
          <w:rFonts w:hint="eastAsia" w:eastAsia="宋体"/>
          <w:szCs w:val="21"/>
          <w:lang w:val="en-US" w:eastAsia="zh-CN"/>
        </w:rPr>
      </w:pPr>
      <w:r>
        <w:rPr>
          <w:szCs w:val="21"/>
        </w:rPr>
        <w:t>LOD 检出限</w:t>
      </w:r>
      <w:r>
        <w:rPr>
          <w:rFonts w:hint="eastAsia"/>
          <w:szCs w:val="21"/>
          <w:lang w:val="en-US" w:eastAsia="zh-CN"/>
        </w:rPr>
        <w:t>(limit of detection)</w:t>
      </w:r>
    </w:p>
    <w:p>
      <w:pPr>
        <w:tabs>
          <w:tab w:val="left" w:pos="1418"/>
        </w:tabs>
        <w:ind w:firstLine="420" w:firstLineChars="200"/>
        <w:rPr>
          <w:rFonts w:hint="eastAsia" w:eastAsia="宋体"/>
          <w:szCs w:val="21"/>
          <w:lang w:val="en-US" w:eastAsia="zh-CN"/>
        </w:rPr>
      </w:pPr>
      <w:r>
        <w:rPr>
          <w:szCs w:val="21"/>
        </w:rPr>
        <w:t>LO</w:t>
      </w:r>
      <w:r>
        <w:rPr>
          <w:rFonts w:hint="eastAsia"/>
          <w:szCs w:val="21"/>
          <w:lang w:val="en-US" w:eastAsia="zh-CN"/>
        </w:rPr>
        <w:t xml:space="preserve">Q </w:t>
      </w:r>
      <w:r>
        <w:rPr>
          <w:szCs w:val="21"/>
        </w:rPr>
        <w:t xml:space="preserve"> 定量限</w:t>
      </w:r>
      <w:r>
        <w:rPr>
          <w:rFonts w:hint="eastAsia"/>
          <w:szCs w:val="21"/>
          <w:lang w:val="en-US" w:eastAsia="zh-CN"/>
        </w:rPr>
        <w:t>(limit of quantification)</w:t>
      </w:r>
    </w:p>
    <w:p>
      <w:pPr>
        <w:tabs>
          <w:tab w:val="left" w:pos="1418"/>
        </w:tabs>
        <w:ind w:firstLine="420" w:firstLineChars="200"/>
        <w:rPr>
          <w:rFonts w:hint="eastAsia" w:eastAsia="宋体"/>
          <w:szCs w:val="21"/>
          <w:lang w:val="en-US" w:eastAsia="zh-CN"/>
        </w:rPr>
      </w:pPr>
      <w:r>
        <w:rPr>
          <w:szCs w:val="21"/>
        </w:rPr>
        <w:t>MDL 方法检出限</w:t>
      </w:r>
      <w:r>
        <w:rPr>
          <w:rFonts w:hint="eastAsia"/>
          <w:szCs w:val="21"/>
          <w:lang w:val="en-US" w:eastAsia="zh-CN"/>
        </w:rPr>
        <w:t>(method detection limit)</w:t>
      </w:r>
    </w:p>
    <w:p>
      <w:pPr>
        <w:tabs>
          <w:tab w:val="left" w:pos="1418"/>
        </w:tabs>
        <w:ind w:firstLine="420" w:firstLineChars="200"/>
        <w:rPr>
          <w:rFonts w:hint="eastAsia" w:eastAsia="宋体"/>
          <w:szCs w:val="21"/>
          <w:lang w:val="en-US" w:eastAsia="zh-CN"/>
        </w:rPr>
      </w:pPr>
      <w:r>
        <w:rPr>
          <w:szCs w:val="21"/>
        </w:rPr>
        <w:t>PAH 多环芳烃</w:t>
      </w:r>
      <w:r>
        <w:rPr>
          <w:rFonts w:hint="eastAsia"/>
          <w:szCs w:val="21"/>
          <w:lang w:val="en-US" w:eastAsia="zh-CN"/>
        </w:rPr>
        <w:t>(polycyclic aromatic hydrocarbon)</w:t>
      </w:r>
    </w:p>
    <w:p>
      <w:pPr>
        <w:tabs>
          <w:tab w:val="left" w:pos="1418"/>
        </w:tabs>
        <w:ind w:firstLine="420" w:firstLineChars="200"/>
        <w:rPr>
          <w:rFonts w:hint="eastAsia" w:eastAsia="宋体"/>
          <w:szCs w:val="21"/>
          <w:lang w:val="en-US" w:eastAsia="zh-CN"/>
        </w:rPr>
      </w:pPr>
      <w:r>
        <w:rPr>
          <w:szCs w:val="21"/>
        </w:rPr>
        <w:t>PBDE 多溴联苯醚</w:t>
      </w:r>
      <w:r>
        <w:rPr>
          <w:rFonts w:hint="eastAsia"/>
          <w:szCs w:val="21"/>
          <w:lang w:val="en-US" w:eastAsia="zh-CN"/>
        </w:rPr>
        <w:t>(polybrominated diphenyl ether)</w:t>
      </w:r>
    </w:p>
    <w:p>
      <w:pPr>
        <w:tabs>
          <w:tab w:val="left" w:pos="1418"/>
        </w:tabs>
        <w:ind w:firstLine="420" w:firstLineChars="200"/>
        <w:rPr>
          <w:rFonts w:hint="eastAsia" w:eastAsia="宋体"/>
          <w:szCs w:val="21"/>
          <w:lang w:val="en-US" w:eastAsia="zh-CN"/>
        </w:rPr>
      </w:pPr>
      <w:r>
        <w:rPr>
          <w:szCs w:val="21"/>
        </w:rPr>
        <w:t>QC 质量控制</w:t>
      </w:r>
      <w:r>
        <w:rPr>
          <w:rFonts w:hint="eastAsia"/>
          <w:szCs w:val="21"/>
          <w:lang w:val="en-US" w:eastAsia="zh-CN"/>
        </w:rPr>
        <w:t>(quality control)</w:t>
      </w:r>
    </w:p>
    <w:p>
      <w:pPr>
        <w:tabs>
          <w:tab w:val="left" w:pos="1418"/>
        </w:tabs>
        <w:ind w:firstLine="420" w:firstLineChars="200"/>
        <w:rPr>
          <w:rFonts w:hint="eastAsia" w:eastAsia="宋体"/>
          <w:szCs w:val="21"/>
          <w:lang w:val="en-US" w:eastAsia="zh-CN"/>
        </w:rPr>
      </w:pPr>
      <w:r>
        <w:rPr>
          <w:szCs w:val="21"/>
        </w:rPr>
        <w:t>RSD 相对标准偏差</w:t>
      </w:r>
      <w:r>
        <w:rPr>
          <w:rFonts w:hint="eastAsia"/>
          <w:szCs w:val="21"/>
          <w:lang w:val="en-US" w:eastAsia="zh-CN"/>
        </w:rPr>
        <w:t>(relative standard deviation)</w:t>
      </w:r>
    </w:p>
    <w:p>
      <w:pPr>
        <w:tabs>
          <w:tab w:val="left" w:pos="1418"/>
        </w:tabs>
        <w:ind w:firstLine="420" w:firstLineChars="200"/>
        <w:rPr>
          <w:rFonts w:hint="eastAsia" w:eastAsia="宋体"/>
          <w:szCs w:val="21"/>
          <w:lang w:val="en-US" w:eastAsia="zh-CN"/>
        </w:rPr>
      </w:pPr>
      <w:r>
        <w:rPr>
          <w:szCs w:val="21"/>
        </w:rPr>
        <w:t>SIM 选择性离子检测</w:t>
      </w:r>
      <w:r>
        <w:rPr>
          <w:rFonts w:hint="eastAsia"/>
          <w:szCs w:val="21"/>
          <w:lang w:val="en-US" w:eastAsia="zh-CN"/>
        </w:rPr>
        <w:t>(selected ion monitoring)</w:t>
      </w:r>
    </w:p>
    <w:p>
      <w:pPr>
        <w:tabs>
          <w:tab w:val="left" w:pos="1418"/>
        </w:tabs>
        <w:ind w:firstLine="420" w:firstLineChars="200"/>
        <w:rPr>
          <w:rFonts w:hint="eastAsia" w:eastAsia="宋体"/>
          <w:szCs w:val="21"/>
          <w:lang w:val="en-US" w:eastAsia="zh-CN"/>
        </w:rPr>
      </w:pPr>
      <w:r>
        <w:rPr>
          <w:szCs w:val="21"/>
        </w:rPr>
        <w:t>TICS 初步鉴定化合物</w:t>
      </w:r>
      <w:r>
        <w:rPr>
          <w:rFonts w:hint="eastAsia"/>
          <w:szCs w:val="21"/>
          <w:lang w:val="en-US" w:eastAsia="zh-CN"/>
        </w:rPr>
        <w:t>(tentatively identified compounds)</w:t>
      </w:r>
    </w:p>
    <w:p>
      <w:pPr>
        <w:tabs>
          <w:tab w:val="left" w:pos="1418"/>
        </w:tabs>
        <w:ind w:firstLine="420" w:firstLineChars="200"/>
        <w:rPr>
          <w:rFonts w:hint="eastAsia" w:eastAsia="宋体"/>
          <w:szCs w:val="21"/>
          <w:lang w:val="en-US" w:eastAsia="zh-CN"/>
        </w:rPr>
      </w:pPr>
      <w:r>
        <w:rPr>
          <w:szCs w:val="21"/>
        </w:rPr>
        <w:t>US EPA 美国环境保护署</w:t>
      </w:r>
      <w:r>
        <w:rPr>
          <w:rFonts w:hint="eastAsia"/>
          <w:szCs w:val="21"/>
          <w:lang w:val="en-US" w:eastAsia="zh-CN"/>
        </w:rPr>
        <w:t>(United States Environmental Protection Agency)</w:t>
      </w:r>
    </w:p>
    <w:p>
      <w:pPr>
        <w:widowControl/>
        <w:spacing w:before="312" w:beforeLines="100" w:after="312" w:afterLines="100"/>
        <w:outlineLvl w:val="0"/>
        <w:rPr>
          <w:rFonts w:hint="eastAsia" w:ascii="黑体" w:hAnsi="黑体" w:eastAsia="黑体"/>
          <w:kern w:val="0"/>
          <w:szCs w:val="20"/>
          <w:lang w:eastAsia="zh-CN"/>
        </w:rPr>
      </w:pPr>
      <w:bookmarkStart w:id="22" w:name="_Toc8307"/>
      <w:bookmarkStart w:id="23" w:name="_Toc23811"/>
      <w:r>
        <w:rPr>
          <w:rFonts w:ascii="黑体" w:hAnsi="黑体" w:eastAsia="黑体"/>
          <w:kern w:val="0"/>
          <w:szCs w:val="20"/>
        </w:rPr>
        <w:t xml:space="preserve">4 </w:t>
      </w:r>
      <w:bookmarkEnd w:id="22"/>
      <w:bookmarkEnd w:id="23"/>
      <w:r>
        <w:rPr>
          <w:rFonts w:hint="eastAsia" w:ascii="黑体" w:hAnsi="黑体" w:eastAsia="黑体"/>
          <w:kern w:val="0"/>
          <w:szCs w:val="20"/>
          <w:lang w:val="en-US" w:eastAsia="zh-CN"/>
        </w:rPr>
        <w:t>原理</w:t>
      </w:r>
    </w:p>
    <w:p>
      <w:pPr>
        <w:ind w:firstLine="420" w:firstLineChars="200"/>
        <w:rPr>
          <w:szCs w:val="21"/>
        </w:rPr>
      </w:pPr>
      <w:r>
        <w:rPr>
          <w:rFonts w:hint="eastAsia"/>
          <w:szCs w:val="21"/>
        </w:rPr>
        <w:t>采用超声波或者索氏提取法对聚合物材料中PAHs进行提取，气相色谱-质谱法测定</w:t>
      </w:r>
      <w:r>
        <w:rPr>
          <w:szCs w:val="21"/>
        </w:rPr>
        <w:t>。</w:t>
      </w:r>
    </w:p>
    <w:p>
      <w:pPr>
        <w:widowControl/>
        <w:spacing w:before="312" w:beforeLines="100" w:after="312" w:afterLines="100"/>
        <w:outlineLvl w:val="0"/>
        <w:rPr>
          <w:rFonts w:ascii="黑体" w:hAnsi="黑体" w:eastAsia="黑体"/>
          <w:kern w:val="0"/>
          <w:szCs w:val="20"/>
        </w:rPr>
      </w:pPr>
      <w:bookmarkStart w:id="24" w:name="_Toc9223"/>
      <w:bookmarkStart w:id="25" w:name="_Toc9717"/>
      <w:r>
        <w:rPr>
          <w:rFonts w:ascii="黑体" w:hAnsi="黑体" w:eastAsia="黑体"/>
          <w:kern w:val="0"/>
          <w:szCs w:val="20"/>
        </w:rPr>
        <w:t>5 试剂与材料</w:t>
      </w:r>
      <w:bookmarkEnd w:id="24"/>
      <w:bookmarkEnd w:id="25"/>
    </w:p>
    <w:p>
      <w:pPr>
        <w:ind w:firstLine="420" w:firstLineChars="200"/>
        <w:rPr>
          <w:szCs w:val="21"/>
        </w:rPr>
      </w:pPr>
      <w:r>
        <w:rPr>
          <w:szCs w:val="21"/>
        </w:rPr>
        <w:t>尽可能使用达到分析质量或更高水平的试剂。仅使用</w:t>
      </w:r>
      <w:r>
        <w:rPr>
          <w:rFonts w:hint="eastAsia"/>
          <w:szCs w:val="21"/>
          <w:lang w:eastAsia="zh-CN"/>
        </w:rPr>
        <w:t>PAHs</w:t>
      </w:r>
      <w:r>
        <w:rPr>
          <w:szCs w:val="21"/>
        </w:rPr>
        <w:t>浓度可忽略不计的试剂，并通过空白测定进行验证，如有必要，采取额外清洁措施（关于校准物，请参阅8.4）：</w:t>
      </w:r>
    </w:p>
    <w:p>
      <w:pPr>
        <w:ind w:firstLine="420" w:firstLineChars="200"/>
        <w:rPr>
          <w:szCs w:val="21"/>
        </w:rPr>
      </w:pPr>
      <w:r>
        <w:rPr>
          <w:szCs w:val="21"/>
        </w:rPr>
        <w:t>a）</w:t>
      </w:r>
      <w:r>
        <w:rPr>
          <w:rFonts w:hint="eastAsia"/>
          <w:szCs w:val="21"/>
        </w:rPr>
        <w:tab/>
      </w:r>
      <w:r>
        <w:rPr>
          <w:szCs w:val="21"/>
        </w:rPr>
        <w:t>二氯甲烷（GC级或更高级别）。</w:t>
      </w:r>
    </w:p>
    <w:p>
      <w:pPr>
        <w:ind w:firstLine="420" w:firstLineChars="200"/>
        <w:rPr>
          <w:szCs w:val="21"/>
        </w:rPr>
      </w:pPr>
      <w:r>
        <w:rPr>
          <w:szCs w:val="21"/>
        </w:rPr>
        <w:t>b）</w:t>
      </w:r>
      <w:r>
        <w:rPr>
          <w:rFonts w:hint="eastAsia"/>
          <w:szCs w:val="21"/>
        </w:rPr>
        <w:tab/>
      </w:r>
      <w:r>
        <w:rPr>
          <w:szCs w:val="21"/>
        </w:rPr>
        <w:t>氦</w:t>
      </w:r>
      <w:r>
        <w:rPr>
          <w:rFonts w:hint="eastAsia"/>
          <w:szCs w:val="21"/>
          <w:lang w:val="en-US" w:eastAsia="zh-CN"/>
        </w:rPr>
        <w:t>气，</w:t>
      </w:r>
      <w:r>
        <w:rPr>
          <w:szCs w:val="21"/>
        </w:rPr>
        <w:t>纯度大于99</w:t>
      </w:r>
      <w:r>
        <w:rPr>
          <w:rFonts w:hint="eastAsia"/>
          <w:szCs w:val="21"/>
          <w:lang w:val="en-US" w:eastAsia="zh-CN"/>
        </w:rPr>
        <w:t>.</w:t>
      </w:r>
      <w:r>
        <w:rPr>
          <w:szCs w:val="21"/>
        </w:rPr>
        <w:t>999%（体积分数）。</w:t>
      </w:r>
    </w:p>
    <w:p>
      <w:pPr>
        <w:ind w:firstLine="420" w:firstLineChars="200"/>
        <w:rPr>
          <w:szCs w:val="21"/>
        </w:rPr>
      </w:pPr>
      <w:r>
        <w:rPr>
          <w:szCs w:val="21"/>
        </w:rPr>
        <w:t>c）</w:t>
      </w:r>
      <w:r>
        <w:rPr>
          <w:rFonts w:hint="eastAsia"/>
          <w:szCs w:val="21"/>
        </w:rPr>
        <w:tab/>
      </w:r>
      <w:r>
        <w:rPr>
          <w:szCs w:val="21"/>
        </w:rPr>
        <w:t>硅胶</w:t>
      </w:r>
      <w:r>
        <w:rPr>
          <w:rFonts w:hint="eastAsia"/>
          <w:szCs w:val="21"/>
          <w:lang w:eastAsia="zh-CN"/>
        </w:rPr>
        <w:t>，</w:t>
      </w:r>
      <w:r>
        <w:rPr>
          <w:szCs w:val="21"/>
        </w:rPr>
        <w:t>纯度大于99%（质量分数）。</w:t>
      </w:r>
    </w:p>
    <w:p>
      <w:pPr>
        <w:ind w:firstLine="420" w:firstLineChars="200"/>
        <w:rPr>
          <w:szCs w:val="21"/>
        </w:rPr>
      </w:pPr>
      <w:r>
        <w:rPr>
          <w:szCs w:val="21"/>
        </w:rPr>
        <w:t>d）</w:t>
      </w:r>
      <w:r>
        <w:rPr>
          <w:rFonts w:hint="eastAsia"/>
          <w:szCs w:val="21"/>
        </w:rPr>
        <w:tab/>
      </w:r>
      <w:r>
        <w:rPr>
          <w:szCs w:val="21"/>
        </w:rPr>
        <w:t>甲苯</w:t>
      </w:r>
      <w:r>
        <w:rPr>
          <w:rFonts w:hint="eastAsia"/>
          <w:szCs w:val="21"/>
          <w:lang w:eastAsia="zh-CN"/>
        </w:rPr>
        <w:t>，</w:t>
      </w:r>
      <w:r>
        <w:rPr>
          <w:szCs w:val="21"/>
        </w:rPr>
        <w:t>GC级或更高级别。</w:t>
      </w:r>
    </w:p>
    <w:p>
      <w:pPr>
        <w:ind w:firstLine="420" w:firstLineChars="200"/>
        <w:rPr>
          <w:szCs w:val="21"/>
        </w:rPr>
      </w:pPr>
      <w:r>
        <w:rPr>
          <w:szCs w:val="21"/>
        </w:rPr>
        <w:t>注1：</w:t>
      </w:r>
      <w:r>
        <w:rPr>
          <w:rFonts w:hint="eastAsia"/>
          <w:szCs w:val="21"/>
        </w:rPr>
        <w:t>当使用四极杆质谱仪时，以上试剂或者材料的纯度可满足要求</w:t>
      </w:r>
      <w:r>
        <w:rPr>
          <w:rFonts w:hint="eastAsia"/>
          <w:szCs w:val="21"/>
          <w:lang w:eastAsia="zh-CN"/>
        </w:rPr>
        <w:t>。</w:t>
      </w:r>
      <w:r>
        <w:rPr>
          <w:rFonts w:hint="eastAsia"/>
          <w:szCs w:val="21"/>
          <w:lang w:val="en-US" w:eastAsia="zh-CN"/>
        </w:rPr>
        <w:t>当使用</w:t>
      </w:r>
      <w:r>
        <w:rPr>
          <w:szCs w:val="21"/>
        </w:rPr>
        <w:t>高分辨率质谱仪</w:t>
      </w:r>
      <w:r>
        <w:rPr>
          <w:rFonts w:hint="eastAsia"/>
          <w:szCs w:val="21"/>
          <w:lang w:val="en-US" w:eastAsia="zh-CN"/>
        </w:rPr>
        <w:t>时</w:t>
      </w:r>
      <w:r>
        <w:rPr>
          <w:szCs w:val="21"/>
        </w:rPr>
        <w:t>需要使用质量和洗脱时间与分析物相似的其他合适标准物质（见8.4）。如果可以达到8.5.2中给出的标准溶液浓度，则可以使用其他储备溶液浓度。</w:t>
      </w:r>
    </w:p>
    <w:p>
      <w:pPr>
        <w:ind w:firstLine="420" w:firstLineChars="200"/>
        <w:rPr>
          <w:szCs w:val="21"/>
        </w:rPr>
      </w:pPr>
      <w:r>
        <w:rPr>
          <w:szCs w:val="21"/>
        </w:rPr>
        <w:t>e）</w:t>
      </w:r>
      <w:r>
        <w:rPr>
          <w:rFonts w:hint="eastAsia"/>
          <w:szCs w:val="21"/>
        </w:rPr>
        <w:tab/>
      </w:r>
      <w:r>
        <w:rPr>
          <w:szCs w:val="21"/>
        </w:rPr>
        <w:t>硫酸钠</w:t>
      </w:r>
      <w:r>
        <w:rPr>
          <w:rFonts w:hint="eastAsia"/>
          <w:szCs w:val="21"/>
          <w:lang w:eastAsia="zh-CN"/>
        </w:rPr>
        <w:t>，</w:t>
      </w:r>
      <w:r>
        <w:rPr>
          <w:szCs w:val="21"/>
        </w:rPr>
        <w:t>纯度大于99%（质量分数）。</w:t>
      </w:r>
    </w:p>
    <w:p>
      <w:pPr>
        <w:ind w:firstLine="420" w:firstLineChars="200"/>
        <w:rPr>
          <w:szCs w:val="21"/>
        </w:rPr>
      </w:pPr>
      <w:r>
        <w:rPr>
          <w:szCs w:val="21"/>
        </w:rPr>
        <w:t>f）</w:t>
      </w:r>
      <w:r>
        <w:rPr>
          <w:rFonts w:hint="eastAsia"/>
          <w:szCs w:val="21"/>
        </w:rPr>
        <w:tab/>
      </w:r>
      <w:r>
        <w:rPr>
          <w:rFonts w:hint="eastAsia"/>
          <w:szCs w:val="21"/>
          <w:lang w:eastAsia="zh-CN"/>
        </w:rPr>
        <w:t>标记物</w:t>
      </w:r>
      <w:r>
        <w:rPr>
          <w:szCs w:val="21"/>
        </w:rPr>
        <w:t>和内标物：</w:t>
      </w:r>
    </w:p>
    <w:p>
      <w:pPr>
        <w:ind w:left="1271" w:leftChars="400" w:hanging="431"/>
        <w:rPr>
          <w:szCs w:val="21"/>
        </w:rPr>
      </w:pPr>
      <w:r>
        <w:rPr>
          <w:szCs w:val="21"/>
        </w:rPr>
        <w:t>—</w:t>
      </w:r>
      <w:r>
        <w:rPr>
          <w:rFonts w:hint="eastAsia"/>
          <w:szCs w:val="21"/>
        </w:rPr>
        <w:tab/>
      </w:r>
      <w:r>
        <w:rPr>
          <w:szCs w:val="21"/>
        </w:rPr>
        <w:t>内标物（用于根据8.4.2 a）校正进样误差），（例如萘-d8、芘-d10、蒽-d10、菲-d10、苯并（a）芘-d12、苝-d12或三苯基苯）；</w:t>
      </w:r>
    </w:p>
    <w:p>
      <w:pPr>
        <w:ind w:firstLine="360" w:firstLineChars="200"/>
        <w:rPr>
          <w:sz w:val="18"/>
          <w:szCs w:val="18"/>
        </w:rPr>
      </w:pPr>
      <w:r>
        <w:rPr>
          <w:rFonts w:hint="eastAsia" w:ascii="黑体" w:hAnsi="黑体" w:eastAsia="黑体" w:cs="黑体"/>
          <w:sz w:val="18"/>
          <w:szCs w:val="18"/>
        </w:rPr>
        <w:t>注2：</w:t>
      </w:r>
      <w:r>
        <w:rPr>
          <w:rFonts w:hint="eastAsia" w:ascii="黑体" w:hAnsi="黑体" w:eastAsia="黑体" w:cs="黑体"/>
          <w:sz w:val="18"/>
          <w:szCs w:val="18"/>
          <w:lang w:val="en-US" w:eastAsia="zh-CN"/>
        </w:rPr>
        <w:t>宜</w:t>
      </w:r>
      <w:r>
        <w:rPr>
          <w:sz w:val="18"/>
          <w:szCs w:val="18"/>
        </w:rPr>
        <w:t>使用至少三种内标物与作为提取剂的甲苯混合。</w:t>
      </w:r>
    </w:p>
    <w:p>
      <w:pPr>
        <w:ind w:left="1271" w:leftChars="400" w:hanging="431"/>
        <w:rPr>
          <w:szCs w:val="21"/>
        </w:rPr>
      </w:pPr>
      <w:r>
        <w:rPr>
          <w:szCs w:val="21"/>
        </w:rPr>
        <w:t>—</w:t>
      </w:r>
      <w:r>
        <w:rPr>
          <w:rFonts w:hint="eastAsia"/>
          <w:szCs w:val="21"/>
        </w:rPr>
        <w:tab/>
      </w:r>
      <w:r>
        <w:rPr>
          <w:rFonts w:hint="eastAsia"/>
          <w:szCs w:val="21"/>
          <w:u w:val="dotted"/>
          <w:lang w:val="en-US" w:eastAsia="zh-CN"/>
        </w:rPr>
        <w:t>标记</w:t>
      </w:r>
      <w:r>
        <w:rPr>
          <w:szCs w:val="21"/>
        </w:rPr>
        <w:t>物（用于根据8.4.2 b）监测分析物回收率），（例如，</w:t>
      </w:r>
      <w:r>
        <w:rPr>
          <w:rFonts w:hint="eastAsia"/>
          <w:szCs w:val="21"/>
          <w:shd w:val="clear"/>
          <w:lang w:eastAsia="zh-CN"/>
        </w:rPr>
        <w:t>䓛</w:t>
      </w:r>
      <w:r>
        <w:rPr>
          <w:szCs w:val="21"/>
        </w:rPr>
        <w:t>-d12或对三联苯-d14）。</w:t>
      </w:r>
    </w:p>
    <w:p>
      <w:pPr>
        <w:ind w:firstLine="420" w:firstLineChars="200"/>
        <w:rPr>
          <w:szCs w:val="21"/>
        </w:rPr>
      </w:pPr>
      <w:r>
        <w:rPr>
          <w:szCs w:val="21"/>
        </w:rPr>
        <w:t>g）</w:t>
      </w:r>
      <w:r>
        <w:rPr>
          <w:rFonts w:hint="eastAsia"/>
          <w:szCs w:val="21"/>
        </w:rPr>
        <w:tab/>
      </w:r>
      <w:r>
        <w:rPr>
          <w:szCs w:val="21"/>
        </w:rPr>
        <w:t>石油醚</w:t>
      </w:r>
      <w:r>
        <w:rPr>
          <w:rFonts w:hint="eastAsia"/>
          <w:szCs w:val="21"/>
          <w:lang w:eastAsia="zh-CN"/>
        </w:rPr>
        <w:t>，</w:t>
      </w:r>
      <w:r>
        <w:rPr>
          <w:szCs w:val="21"/>
        </w:rPr>
        <w:t>纯度大于99%（质量分数）。</w:t>
      </w:r>
    </w:p>
    <w:p>
      <w:pPr>
        <w:ind w:firstLine="420" w:firstLineChars="200"/>
        <w:rPr>
          <w:szCs w:val="21"/>
        </w:rPr>
      </w:pPr>
      <w:r>
        <w:rPr>
          <w:szCs w:val="21"/>
        </w:rPr>
        <w:t>h）</w:t>
      </w:r>
      <w:r>
        <w:rPr>
          <w:rFonts w:hint="eastAsia"/>
          <w:szCs w:val="21"/>
        </w:rPr>
        <w:tab/>
      </w:r>
      <w:r>
        <w:rPr>
          <w:szCs w:val="21"/>
        </w:rPr>
        <w:t>水</w:t>
      </w:r>
      <w:r>
        <w:rPr>
          <w:rFonts w:hint="eastAsia"/>
          <w:szCs w:val="21"/>
          <w:lang w:eastAsia="zh-CN"/>
        </w:rPr>
        <w:t>，</w:t>
      </w:r>
      <w:r>
        <w:rPr>
          <w:rFonts w:hint="eastAsia"/>
          <w:szCs w:val="21"/>
          <w:shd w:val="clear"/>
        </w:rPr>
        <w:t>GB/T 6682</w:t>
      </w:r>
      <w:r>
        <w:rPr>
          <w:szCs w:val="21"/>
          <w:shd w:val="clear"/>
        </w:rPr>
        <w:t>中规定的1级</w:t>
      </w:r>
      <w:r>
        <w:rPr>
          <w:szCs w:val="21"/>
        </w:rPr>
        <w:t>，用于制备实验室器具等。</w:t>
      </w:r>
    </w:p>
    <w:p>
      <w:pPr>
        <w:widowControl/>
        <w:spacing w:before="312" w:beforeLines="100" w:after="312" w:afterLines="100"/>
        <w:outlineLvl w:val="0"/>
        <w:rPr>
          <w:rFonts w:hint="eastAsia" w:ascii="黑体" w:hAnsi="黑体" w:eastAsia="黑体"/>
          <w:kern w:val="0"/>
          <w:szCs w:val="20"/>
          <w:lang w:val="en-US" w:eastAsia="zh-CN"/>
        </w:rPr>
      </w:pPr>
      <w:bookmarkStart w:id="26" w:name="_Toc788"/>
      <w:bookmarkStart w:id="27" w:name="_Toc714"/>
      <w:r>
        <w:rPr>
          <w:rFonts w:ascii="黑体" w:hAnsi="黑体" w:eastAsia="黑体"/>
          <w:kern w:val="0"/>
          <w:szCs w:val="20"/>
        </w:rPr>
        <w:t xml:space="preserve">6 </w:t>
      </w:r>
      <w:bookmarkEnd w:id="26"/>
      <w:bookmarkEnd w:id="27"/>
      <w:r>
        <w:rPr>
          <w:rFonts w:hint="eastAsia" w:ascii="黑体" w:hAnsi="黑体" w:eastAsia="黑体"/>
          <w:kern w:val="0"/>
          <w:szCs w:val="20"/>
          <w:lang w:val="en-US" w:eastAsia="zh-CN"/>
        </w:rPr>
        <w:t>设备和材料</w:t>
      </w:r>
    </w:p>
    <w:p>
      <w:pPr>
        <w:ind w:firstLine="420" w:firstLineChars="200"/>
        <w:rPr>
          <w:szCs w:val="21"/>
        </w:rPr>
      </w:pPr>
      <w:r>
        <w:rPr>
          <w:szCs w:val="21"/>
        </w:rPr>
        <w:t>使用以下各项</w:t>
      </w:r>
      <w:r>
        <w:rPr>
          <w:rFonts w:hint="eastAsia"/>
          <w:szCs w:val="21"/>
          <w:lang w:val="en-US" w:eastAsia="zh-CN"/>
        </w:rPr>
        <w:t>设备和材料</w:t>
      </w:r>
      <w:r>
        <w:rPr>
          <w:szCs w:val="21"/>
        </w:rPr>
        <w:t>进行分析：</w:t>
      </w:r>
    </w:p>
    <w:p>
      <w:pPr>
        <w:ind w:firstLine="420" w:firstLineChars="200"/>
        <w:rPr>
          <w:szCs w:val="21"/>
        </w:rPr>
        <w:sectPr>
          <w:footerReference r:id="rId11" w:type="default"/>
          <w:footerReference r:id="rId12" w:type="even"/>
          <w:pgSz w:w="11906" w:h="16838"/>
          <w:pgMar w:top="567" w:right="1134" w:bottom="1134" w:left="1418" w:header="1418" w:footer="1134" w:gutter="0"/>
          <w:pgNumType w:fmt="decimal"/>
          <w:cols w:space="425" w:num="1"/>
          <w:formProt w:val="0"/>
          <w:docGrid w:type="lines" w:linePitch="312" w:charSpace="0"/>
        </w:sectPr>
      </w:pPr>
    </w:p>
    <w:p>
      <w:pPr>
        <w:ind w:firstLine="420" w:firstLineChars="200"/>
        <w:rPr>
          <w:szCs w:val="21"/>
        </w:rPr>
      </w:pPr>
      <w:r>
        <w:rPr>
          <w:szCs w:val="21"/>
        </w:rPr>
        <w:t>a）</w:t>
      </w:r>
      <w:r>
        <w:rPr>
          <w:rFonts w:hint="eastAsia"/>
          <w:szCs w:val="21"/>
        </w:rPr>
        <w:tab/>
      </w:r>
      <w:r>
        <w:rPr>
          <w:rFonts w:hint="eastAsia"/>
          <w:szCs w:val="21"/>
          <w:lang w:val="en-US" w:eastAsia="zh-CN"/>
        </w:rPr>
        <w:t>过</w:t>
      </w:r>
      <w:r>
        <w:rPr>
          <w:szCs w:val="21"/>
        </w:rPr>
        <w:t>滤膜</w:t>
      </w:r>
      <w:r>
        <w:rPr>
          <w:rFonts w:hint="eastAsia"/>
          <w:szCs w:val="21"/>
          <w:lang w:val="en-US" w:eastAsia="zh-CN"/>
        </w:rPr>
        <w:t>，</w:t>
      </w:r>
      <w:r>
        <w:rPr>
          <w:szCs w:val="21"/>
        </w:rPr>
        <w:t>PTFE</w:t>
      </w:r>
      <w:r>
        <w:rPr>
          <w:rFonts w:hint="eastAsia"/>
          <w:szCs w:val="21"/>
          <w:lang w:val="en-US" w:eastAsia="zh-CN"/>
        </w:rPr>
        <w:t>材质，孔径</w:t>
      </w:r>
      <w:r>
        <w:rPr>
          <w:szCs w:val="21"/>
        </w:rPr>
        <w:t>0</w:t>
      </w:r>
      <w:r>
        <w:rPr>
          <w:rFonts w:hint="eastAsia"/>
          <w:szCs w:val="21"/>
          <w:lang w:val="en-US" w:eastAsia="zh-CN"/>
        </w:rPr>
        <w:t>.</w:t>
      </w:r>
      <w:r>
        <w:rPr>
          <w:szCs w:val="21"/>
        </w:rPr>
        <w:t xml:space="preserve">45 </w:t>
      </w:r>
      <w:r>
        <w:rPr>
          <w:rFonts w:hint="default" w:ascii="Times New Roman" w:hAnsi="Times New Roman" w:cs="Times New Roman"/>
          <w:szCs w:val="21"/>
        </w:rPr>
        <w:t>μ</w:t>
      </w:r>
      <w:r>
        <w:rPr>
          <w:szCs w:val="21"/>
        </w:rPr>
        <w:t>m。</w:t>
      </w:r>
    </w:p>
    <w:p>
      <w:pPr>
        <w:ind w:firstLine="420" w:firstLineChars="200"/>
        <w:rPr>
          <w:szCs w:val="21"/>
        </w:rPr>
      </w:pPr>
      <w:r>
        <w:rPr>
          <w:szCs w:val="21"/>
        </w:rPr>
        <w:t>b）</w:t>
      </w:r>
      <w:r>
        <w:rPr>
          <w:rFonts w:hint="eastAsia"/>
          <w:szCs w:val="21"/>
        </w:rPr>
        <w:tab/>
      </w:r>
      <w:r>
        <w:rPr>
          <w:rFonts w:hint="eastAsia"/>
          <w:szCs w:val="21"/>
          <w:lang w:val="en-US" w:eastAsia="zh-CN"/>
        </w:rPr>
        <w:t>容</w:t>
      </w:r>
      <w:r>
        <w:rPr>
          <w:szCs w:val="21"/>
        </w:rPr>
        <w:t>量瓶</w:t>
      </w:r>
      <w:r>
        <w:rPr>
          <w:rFonts w:hint="eastAsia"/>
          <w:szCs w:val="21"/>
          <w:lang w:val="en-US" w:eastAsia="zh-CN"/>
        </w:rPr>
        <w:t>，容量体积为</w:t>
      </w:r>
      <w:r>
        <w:rPr>
          <w:szCs w:val="21"/>
        </w:rPr>
        <w:t>1 m</w:t>
      </w:r>
      <w:r>
        <w:rPr>
          <w:rFonts w:hint="eastAsia"/>
          <w:szCs w:val="21"/>
          <w:lang w:eastAsia="zh-CN"/>
        </w:rPr>
        <w:t>L</w:t>
      </w:r>
      <w:r>
        <w:rPr>
          <w:szCs w:val="21"/>
        </w:rPr>
        <w:t>、5 m</w:t>
      </w:r>
      <w:r>
        <w:rPr>
          <w:rFonts w:hint="eastAsia"/>
          <w:szCs w:val="21"/>
          <w:lang w:eastAsia="zh-CN"/>
        </w:rPr>
        <w:t>L</w:t>
      </w:r>
      <w:r>
        <w:rPr>
          <w:szCs w:val="21"/>
        </w:rPr>
        <w:t>、10 m</w:t>
      </w:r>
      <w:r>
        <w:rPr>
          <w:rFonts w:hint="eastAsia"/>
          <w:szCs w:val="21"/>
          <w:lang w:eastAsia="zh-CN"/>
        </w:rPr>
        <w:t>L</w:t>
      </w:r>
      <w:r>
        <w:rPr>
          <w:szCs w:val="21"/>
        </w:rPr>
        <w:t>、100 m</w:t>
      </w:r>
      <w:r>
        <w:rPr>
          <w:rFonts w:hint="eastAsia"/>
          <w:szCs w:val="21"/>
          <w:lang w:eastAsia="zh-CN"/>
        </w:rPr>
        <w:t>L</w:t>
      </w:r>
      <w:r>
        <w:rPr>
          <w:szCs w:val="21"/>
        </w:rPr>
        <w:t>。</w:t>
      </w:r>
    </w:p>
    <w:p>
      <w:pPr>
        <w:ind w:firstLine="420" w:firstLineChars="200"/>
        <w:rPr>
          <w:szCs w:val="21"/>
        </w:rPr>
      </w:pPr>
      <w:r>
        <w:rPr>
          <w:szCs w:val="21"/>
        </w:rPr>
        <w:t>c）</w:t>
      </w:r>
      <w:r>
        <w:rPr>
          <w:rFonts w:hint="eastAsia"/>
          <w:szCs w:val="21"/>
        </w:rPr>
        <w:tab/>
      </w:r>
      <w:r>
        <w:rPr>
          <w:szCs w:val="21"/>
        </w:rPr>
        <w:t>铝箔。</w:t>
      </w:r>
    </w:p>
    <w:p>
      <w:pPr>
        <w:ind w:firstLine="420" w:firstLineChars="200"/>
        <w:rPr>
          <w:szCs w:val="21"/>
        </w:rPr>
      </w:pPr>
      <w:r>
        <w:rPr>
          <w:szCs w:val="21"/>
        </w:rPr>
        <w:t>d）</w:t>
      </w:r>
      <w:r>
        <w:rPr>
          <w:rFonts w:hint="eastAsia"/>
          <w:szCs w:val="21"/>
        </w:rPr>
        <w:tab/>
      </w:r>
      <w:r>
        <w:rPr>
          <w:szCs w:val="21"/>
        </w:rPr>
        <w:t>分析天平</w:t>
      </w:r>
      <w:r>
        <w:rPr>
          <w:rFonts w:hint="eastAsia"/>
          <w:szCs w:val="21"/>
          <w:lang w:eastAsia="zh-CN"/>
        </w:rPr>
        <w:t>，</w:t>
      </w:r>
      <w:r>
        <w:rPr>
          <w:rFonts w:hint="eastAsia"/>
          <w:szCs w:val="21"/>
          <w:lang w:val="en-US" w:eastAsia="zh-CN"/>
        </w:rPr>
        <w:t>精确至</w:t>
      </w:r>
      <w:r>
        <w:rPr>
          <w:szCs w:val="21"/>
        </w:rPr>
        <w:t>0</w:t>
      </w:r>
      <w:r>
        <w:rPr>
          <w:rFonts w:hint="eastAsia"/>
          <w:szCs w:val="21"/>
          <w:lang w:val="en-US" w:eastAsia="zh-CN"/>
        </w:rPr>
        <w:t>.</w:t>
      </w:r>
      <w:r>
        <w:rPr>
          <w:szCs w:val="21"/>
        </w:rPr>
        <w:t>0001 g。</w:t>
      </w:r>
    </w:p>
    <w:p>
      <w:pPr>
        <w:ind w:firstLine="420" w:firstLineChars="200"/>
        <w:rPr>
          <w:szCs w:val="21"/>
        </w:rPr>
      </w:pPr>
      <w:r>
        <w:rPr>
          <w:szCs w:val="21"/>
        </w:rPr>
        <w:t>e）</w:t>
      </w:r>
      <w:r>
        <w:rPr>
          <w:rFonts w:hint="eastAsia"/>
          <w:szCs w:val="21"/>
        </w:rPr>
        <w:tab/>
      </w:r>
      <w:r>
        <w:rPr>
          <w:szCs w:val="21"/>
        </w:rPr>
        <w:t>40 m</w:t>
      </w:r>
      <w:r>
        <w:rPr>
          <w:rFonts w:hint="eastAsia"/>
          <w:szCs w:val="21"/>
          <w:lang w:val="en-US" w:eastAsia="zh-CN"/>
        </w:rPr>
        <w:t>L</w:t>
      </w:r>
      <w:r>
        <w:rPr>
          <w:szCs w:val="21"/>
        </w:rPr>
        <w:t>棕色或琥珀色容器。</w:t>
      </w:r>
    </w:p>
    <w:p>
      <w:pPr>
        <w:ind w:firstLine="420" w:firstLineChars="200"/>
        <w:rPr>
          <w:szCs w:val="21"/>
        </w:rPr>
      </w:pPr>
      <w:r>
        <w:rPr>
          <w:szCs w:val="21"/>
        </w:rPr>
        <w:t>f）</w:t>
      </w:r>
      <w:r>
        <w:rPr>
          <w:rFonts w:hint="eastAsia"/>
          <w:szCs w:val="21"/>
        </w:rPr>
        <w:tab/>
      </w:r>
      <w:r>
        <w:rPr>
          <w:szCs w:val="21"/>
        </w:rPr>
        <w:t>采用液氮冷却的低温研磨机。</w:t>
      </w:r>
    </w:p>
    <w:p>
      <w:pPr>
        <w:ind w:firstLine="420" w:firstLineChars="200"/>
        <w:rPr>
          <w:szCs w:val="21"/>
        </w:rPr>
      </w:pPr>
      <w:r>
        <w:rPr>
          <w:szCs w:val="21"/>
        </w:rPr>
        <w:t>g）</w:t>
      </w:r>
      <w:r>
        <w:rPr>
          <w:rFonts w:hint="eastAsia"/>
          <w:szCs w:val="21"/>
        </w:rPr>
        <w:tab/>
      </w:r>
      <w:r>
        <w:rPr>
          <w:szCs w:val="21"/>
        </w:rPr>
        <w:t>烘箱。</w:t>
      </w:r>
    </w:p>
    <w:p>
      <w:pPr>
        <w:ind w:firstLine="420" w:firstLineChars="200"/>
        <w:rPr>
          <w:szCs w:val="21"/>
        </w:rPr>
      </w:pPr>
      <w:r>
        <w:rPr>
          <w:szCs w:val="21"/>
        </w:rPr>
        <w:t>h）</w:t>
      </w:r>
      <w:r>
        <w:rPr>
          <w:rFonts w:hint="eastAsia"/>
          <w:szCs w:val="21"/>
        </w:rPr>
        <w:tab/>
      </w:r>
      <w:r>
        <w:rPr>
          <w:rFonts w:hint="eastAsia"/>
          <w:szCs w:val="21"/>
          <w:lang w:val="en-US" w:eastAsia="zh-CN"/>
        </w:rPr>
        <w:t>马弗炉</w:t>
      </w:r>
      <w:r>
        <w:rPr>
          <w:szCs w:val="21"/>
        </w:rPr>
        <w:t>。</w:t>
      </w:r>
    </w:p>
    <w:p>
      <w:pPr>
        <w:shd w:val="clear"/>
        <w:ind w:firstLine="420" w:firstLineChars="200"/>
        <w:rPr>
          <w:szCs w:val="21"/>
        </w:rPr>
      </w:pPr>
      <w:r>
        <w:rPr>
          <w:szCs w:val="21"/>
        </w:rPr>
        <w:t>i）</w:t>
      </w:r>
      <w:r>
        <w:rPr>
          <w:rFonts w:hint="eastAsia"/>
          <w:szCs w:val="21"/>
        </w:rPr>
        <w:tab/>
      </w:r>
      <w:r>
        <w:rPr>
          <w:szCs w:val="21"/>
        </w:rPr>
        <w:t>提取套管（纤维素 30 m</w:t>
      </w:r>
      <w:r>
        <w:rPr>
          <w:rFonts w:hint="eastAsia"/>
          <w:szCs w:val="21"/>
          <w:lang w:val="en-US" w:eastAsia="zh-CN"/>
        </w:rPr>
        <w:t>L</w:t>
      </w:r>
      <w:r>
        <w:rPr>
          <w:szCs w:val="21"/>
        </w:rPr>
        <w:t>，内径22 m</w:t>
      </w:r>
      <w:r>
        <w:rPr>
          <w:rFonts w:hint="eastAsia"/>
          <w:szCs w:val="21"/>
          <w:lang w:val="en-US" w:eastAsia="zh-CN"/>
        </w:rPr>
        <w:t>m</w:t>
      </w:r>
      <w:r>
        <w:rPr>
          <w:szCs w:val="21"/>
        </w:rPr>
        <w:t>，高度80 m</w:t>
      </w:r>
      <w:r>
        <w:rPr>
          <w:rFonts w:hint="eastAsia"/>
          <w:szCs w:val="21"/>
          <w:lang w:val="en-US" w:eastAsia="zh-CN"/>
        </w:rPr>
        <w:t>m</w:t>
      </w:r>
      <w:r>
        <w:rPr>
          <w:szCs w:val="21"/>
        </w:rPr>
        <w:t>）。</w:t>
      </w:r>
    </w:p>
    <w:p>
      <w:pPr>
        <w:ind w:firstLine="420" w:firstLineChars="200"/>
        <w:rPr>
          <w:szCs w:val="21"/>
        </w:rPr>
      </w:pPr>
      <w:r>
        <w:rPr>
          <w:szCs w:val="21"/>
        </w:rPr>
        <w:t>j）</w:t>
      </w:r>
      <w:r>
        <w:rPr>
          <w:rFonts w:hint="eastAsia"/>
          <w:szCs w:val="21"/>
        </w:rPr>
        <w:tab/>
      </w:r>
      <w:r>
        <w:rPr>
          <w:szCs w:val="21"/>
        </w:rPr>
        <w:t>漏斗。</w:t>
      </w:r>
    </w:p>
    <w:p>
      <w:pPr>
        <w:ind w:firstLine="420" w:firstLineChars="200"/>
        <w:rPr>
          <w:szCs w:val="21"/>
        </w:rPr>
      </w:pPr>
      <w:r>
        <w:rPr>
          <w:szCs w:val="21"/>
        </w:rPr>
        <w:t>k）</w:t>
      </w:r>
      <w:r>
        <w:rPr>
          <w:rFonts w:hint="eastAsia"/>
          <w:szCs w:val="21"/>
        </w:rPr>
        <w:tab/>
      </w:r>
      <w:r>
        <w:rPr>
          <w:rFonts w:hint="eastAsia"/>
          <w:szCs w:val="21"/>
          <w:lang w:val="en-US" w:eastAsia="zh-CN"/>
        </w:rPr>
        <w:t>净化</w:t>
      </w:r>
      <w:r>
        <w:rPr>
          <w:szCs w:val="21"/>
        </w:rPr>
        <w:t>柱（尺寸：220 mm x 15 mm）。</w:t>
      </w:r>
    </w:p>
    <w:p>
      <w:pPr>
        <w:ind w:firstLine="420" w:firstLineChars="200"/>
        <w:rPr>
          <w:szCs w:val="21"/>
        </w:rPr>
      </w:pPr>
      <w:r>
        <w:rPr>
          <w:szCs w:val="21"/>
        </w:rPr>
        <w:t>l）</w:t>
      </w:r>
      <w:r>
        <w:rPr>
          <w:rFonts w:hint="eastAsia"/>
          <w:szCs w:val="21"/>
        </w:rPr>
        <w:tab/>
      </w:r>
      <w:r>
        <w:rPr>
          <w:szCs w:val="21"/>
        </w:rPr>
        <w:t>玻璃棉（用于提取套筒）。</w:t>
      </w:r>
    </w:p>
    <w:p>
      <w:pPr>
        <w:ind w:firstLine="420" w:firstLineChars="200"/>
        <w:rPr>
          <w:szCs w:val="21"/>
        </w:rPr>
      </w:pPr>
      <w:r>
        <w:rPr>
          <w:szCs w:val="21"/>
        </w:rPr>
        <w:t>m）</w:t>
      </w:r>
      <w:r>
        <w:rPr>
          <w:rFonts w:hint="eastAsia"/>
          <w:szCs w:val="21"/>
        </w:rPr>
        <w:tab/>
      </w:r>
      <w:r>
        <w:rPr>
          <w:szCs w:val="21"/>
        </w:rPr>
        <w:t>加热套。</w:t>
      </w:r>
    </w:p>
    <w:p>
      <w:pPr>
        <w:ind w:firstLine="420" w:firstLineChars="200"/>
        <w:rPr>
          <w:szCs w:val="21"/>
        </w:rPr>
      </w:pPr>
      <w:r>
        <w:rPr>
          <w:szCs w:val="21"/>
        </w:rPr>
        <w:t>n）</w:t>
      </w:r>
      <w:r>
        <w:rPr>
          <w:rFonts w:hint="eastAsia"/>
          <w:szCs w:val="21"/>
        </w:rPr>
        <w:tab/>
      </w:r>
      <w:r>
        <w:rPr>
          <w:szCs w:val="21"/>
        </w:rPr>
        <w:t>微升注射器或自动移液器。</w:t>
      </w:r>
    </w:p>
    <w:p>
      <w:pPr>
        <w:ind w:firstLine="420" w:firstLineChars="200"/>
        <w:rPr>
          <w:szCs w:val="21"/>
        </w:rPr>
      </w:pPr>
      <w:r>
        <w:rPr>
          <w:szCs w:val="21"/>
        </w:rPr>
        <w:t>o）</w:t>
      </w:r>
      <w:r>
        <w:rPr>
          <w:rFonts w:hint="eastAsia"/>
          <w:szCs w:val="21"/>
        </w:rPr>
        <w:tab/>
      </w:r>
      <w:r>
        <w:rPr>
          <w:szCs w:val="21"/>
        </w:rPr>
        <w:t>微型振动器（也称为涡旋混匀仪或旋涡混合器）。</w:t>
      </w:r>
    </w:p>
    <w:p>
      <w:pPr>
        <w:ind w:firstLine="420" w:firstLineChars="200"/>
        <w:rPr>
          <w:szCs w:val="21"/>
        </w:rPr>
      </w:pPr>
      <w:r>
        <w:rPr>
          <w:szCs w:val="21"/>
        </w:rPr>
        <w:t>p）</w:t>
      </w:r>
      <w:r>
        <w:rPr>
          <w:rFonts w:hint="eastAsia"/>
          <w:szCs w:val="21"/>
        </w:rPr>
        <w:tab/>
      </w:r>
      <w:r>
        <w:rPr>
          <w:szCs w:val="21"/>
        </w:rPr>
        <w:t>巴斯德吸管。</w:t>
      </w:r>
    </w:p>
    <w:p>
      <w:pPr>
        <w:ind w:firstLine="420" w:firstLineChars="200"/>
        <w:rPr>
          <w:szCs w:val="21"/>
        </w:rPr>
      </w:pPr>
      <w:r>
        <w:rPr>
          <w:szCs w:val="21"/>
        </w:rPr>
        <w:t>q）</w:t>
      </w:r>
      <w:r>
        <w:rPr>
          <w:rFonts w:hint="eastAsia"/>
          <w:szCs w:val="21"/>
        </w:rPr>
        <w:tab/>
      </w:r>
      <w:r>
        <w:rPr>
          <w:szCs w:val="21"/>
        </w:rPr>
        <w:t>旋转蒸发器。</w:t>
      </w:r>
    </w:p>
    <w:p>
      <w:pPr>
        <w:ind w:left="851" w:leftChars="200" w:hanging="431"/>
        <w:rPr>
          <w:szCs w:val="21"/>
        </w:rPr>
      </w:pPr>
      <w:r>
        <w:rPr>
          <w:szCs w:val="21"/>
        </w:rPr>
        <w:t>r）</w:t>
      </w:r>
      <w:r>
        <w:rPr>
          <w:rFonts w:hint="eastAsia"/>
          <w:szCs w:val="21"/>
        </w:rPr>
        <w:tab/>
      </w:r>
      <w:r>
        <w:rPr>
          <w:szCs w:val="21"/>
        </w:rPr>
        <w:t>索氏提取器：</w:t>
      </w:r>
    </w:p>
    <w:p>
      <w:pPr>
        <w:ind w:firstLine="420" w:firstLineChars="200"/>
        <w:rPr>
          <w:szCs w:val="21"/>
        </w:rPr>
      </w:pPr>
      <w:r>
        <w:rPr>
          <w:szCs w:val="21"/>
        </w:rPr>
        <w:t>—30 m</w:t>
      </w:r>
      <w:r>
        <w:rPr>
          <w:rFonts w:hint="eastAsia"/>
          <w:szCs w:val="21"/>
          <w:lang w:val="en-US" w:eastAsia="zh-CN"/>
        </w:rPr>
        <w:t>L</w:t>
      </w:r>
      <w:r>
        <w:rPr>
          <w:szCs w:val="21"/>
        </w:rPr>
        <w:t>索氏提取器；</w:t>
      </w:r>
    </w:p>
    <w:p>
      <w:pPr>
        <w:ind w:firstLine="420" w:firstLineChars="200"/>
        <w:rPr>
          <w:szCs w:val="21"/>
        </w:rPr>
      </w:pPr>
      <w:r>
        <w:rPr>
          <w:szCs w:val="21"/>
        </w:rPr>
        <w:t>—250 m</w:t>
      </w:r>
      <w:r>
        <w:rPr>
          <w:rFonts w:hint="eastAsia"/>
          <w:szCs w:val="21"/>
          <w:lang w:val="en-US" w:eastAsia="zh-CN"/>
        </w:rPr>
        <w:t>L</w:t>
      </w:r>
      <w:r>
        <w:rPr>
          <w:szCs w:val="21"/>
        </w:rPr>
        <w:t>圆底烧瓶；</w:t>
      </w:r>
    </w:p>
    <w:p>
      <w:pPr>
        <w:ind w:firstLine="420" w:firstLineChars="200"/>
        <w:rPr>
          <w:szCs w:val="21"/>
        </w:rPr>
      </w:pPr>
      <w:r>
        <w:rPr>
          <w:szCs w:val="21"/>
        </w:rPr>
        <w:t>—磨砂塞 NS 29/32；</w:t>
      </w:r>
    </w:p>
    <w:p>
      <w:pPr>
        <w:ind w:firstLine="420" w:firstLineChars="200"/>
        <w:rPr>
          <w:szCs w:val="21"/>
        </w:rPr>
      </w:pPr>
      <w:r>
        <w:rPr>
          <w:szCs w:val="21"/>
        </w:rPr>
        <w:t>—蛇形冷凝管NS 29/32；</w:t>
      </w:r>
    </w:p>
    <w:p>
      <w:pPr>
        <w:ind w:firstLine="420" w:firstLineChars="200"/>
        <w:rPr>
          <w:szCs w:val="21"/>
        </w:rPr>
      </w:pPr>
      <w:r>
        <w:rPr>
          <w:szCs w:val="21"/>
        </w:rPr>
        <w:t>—沸石（例如玻璃珠或拉西环）。</w:t>
      </w:r>
    </w:p>
    <w:p>
      <w:pPr>
        <w:ind w:left="851" w:leftChars="200" w:hanging="431"/>
        <w:rPr>
          <w:szCs w:val="21"/>
        </w:rPr>
      </w:pPr>
      <w:r>
        <w:rPr>
          <w:szCs w:val="21"/>
        </w:rPr>
        <w:t>s）</w:t>
      </w:r>
      <w:r>
        <w:rPr>
          <w:rFonts w:hint="eastAsia"/>
          <w:szCs w:val="21"/>
        </w:rPr>
        <w:tab/>
      </w:r>
      <w:r>
        <w:rPr>
          <w:szCs w:val="21"/>
        </w:rPr>
        <w:t>超声波提取器：</w:t>
      </w:r>
    </w:p>
    <w:p>
      <w:pPr>
        <w:ind w:firstLine="420" w:firstLineChars="200"/>
        <w:rPr>
          <w:szCs w:val="21"/>
        </w:rPr>
      </w:pPr>
      <w:r>
        <w:rPr>
          <w:szCs w:val="21"/>
          <w:lang w:val="zh-CN"/>
        </w:rPr>
        <w:t>超声波清洗器，最小功率为</w:t>
      </w:r>
      <w:r>
        <w:rPr>
          <w:szCs w:val="21"/>
        </w:rPr>
        <w:t>200 W，</w:t>
      </w:r>
      <w:r>
        <w:rPr>
          <w:szCs w:val="21"/>
          <w:lang w:val="zh-CN"/>
        </w:rPr>
        <w:t>清洗器</w:t>
      </w:r>
      <w:r>
        <w:rPr>
          <w:szCs w:val="21"/>
        </w:rPr>
        <w:t>面积为706 cm</w:t>
      </w:r>
      <w:r>
        <w:rPr>
          <w:szCs w:val="21"/>
          <w:vertAlign w:val="superscript"/>
        </w:rPr>
        <w:t>2</w:t>
      </w:r>
      <w:r>
        <w:rPr>
          <w:szCs w:val="21"/>
        </w:rPr>
        <w:t>，相当于0.28 W/cm</w:t>
      </w:r>
      <w:r>
        <w:rPr>
          <w:szCs w:val="21"/>
          <w:vertAlign w:val="superscript"/>
        </w:rPr>
        <w:t>2</w:t>
      </w:r>
      <w:r>
        <w:rPr>
          <w:szCs w:val="21"/>
        </w:rPr>
        <w:t>，不带篮子，</w:t>
      </w:r>
      <w:r>
        <w:rPr>
          <w:szCs w:val="21"/>
          <w:lang w:val="zh-CN"/>
        </w:rPr>
        <w:t>设</w:t>
      </w:r>
      <w:r>
        <w:rPr>
          <w:szCs w:val="21"/>
        </w:rPr>
        <w:t>有内部或外部恒温</w:t>
      </w:r>
      <w:r>
        <w:rPr>
          <w:szCs w:val="21"/>
          <w:lang w:val="zh-CN"/>
        </w:rPr>
        <w:t>控制</w:t>
      </w:r>
      <w:r>
        <w:rPr>
          <w:szCs w:val="21"/>
        </w:rPr>
        <w:t>器。</w:t>
      </w:r>
    </w:p>
    <w:p>
      <w:pPr>
        <w:ind w:left="851" w:leftChars="200" w:hanging="431"/>
        <w:rPr>
          <w:szCs w:val="21"/>
        </w:rPr>
      </w:pPr>
      <w:r>
        <w:rPr>
          <w:szCs w:val="21"/>
        </w:rPr>
        <w:t>t）</w:t>
      </w:r>
      <w:r>
        <w:rPr>
          <w:rFonts w:hint="eastAsia"/>
          <w:szCs w:val="21"/>
        </w:rPr>
        <w:tab/>
      </w:r>
      <w:r>
        <w:rPr>
          <w:szCs w:val="21"/>
        </w:rPr>
        <w:t>GC-MS样品瓶：</w:t>
      </w:r>
    </w:p>
    <w:p>
      <w:pPr>
        <w:ind w:firstLine="420" w:firstLineChars="200"/>
        <w:rPr>
          <w:szCs w:val="21"/>
        </w:rPr>
      </w:pPr>
      <w:r>
        <w:rPr>
          <w:szCs w:val="21"/>
        </w:rPr>
        <w:t>2 m</w:t>
      </w:r>
      <w:r>
        <w:rPr>
          <w:rFonts w:hint="eastAsia"/>
          <w:szCs w:val="21"/>
          <w:lang w:eastAsia="zh-CN"/>
        </w:rPr>
        <w:t>L</w:t>
      </w:r>
      <w:r>
        <w:rPr>
          <w:szCs w:val="21"/>
        </w:rPr>
        <w:t>样品瓶，配100 μ</w:t>
      </w:r>
      <w:r>
        <w:rPr>
          <w:rFonts w:hint="eastAsia"/>
          <w:szCs w:val="21"/>
          <w:lang w:eastAsia="zh-CN"/>
        </w:rPr>
        <w:t>L</w:t>
      </w:r>
      <w:r>
        <w:rPr>
          <w:rFonts w:hint="eastAsia"/>
          <w:szCs w:val="21"/>
          <w:lang w:val="en-US" w:eastAsia="zh-CN"/>
        </w:rPr>
        <w:t>内插管</w:t>
      </w:r>
      <w:r>
        <w:rPr>
          <w:szCs w:val="21"/>
        </w:rPr>
        <w:t>和带聚四氟乙烯（PTFE）垫圈的旋盖，或根据分析系统配备类似样品容器。按程序文本中的说明使用棕色或琥珀色容器。</w:t>
      </w:r>
    </w:p>
    <w:p>
      <w:pPr>
        <w:ind w:left="851" w:leftChars="200" w:hanging="431"/>
        <w:rPr>
          <w:szCs w:val="21"/>
        </w:rPr>
      </w:pPr>
      <w:r>
        <w:rPr>
          <w:szCs w:val="21"/>
        </w:rPr>
        <w:t>u）</w:t>
      </w:r>
      <w:r>
        <w:rPr>
          <w:rFonts w:hint="eastAsia"/>
          <w:szCs w:val="21"/>
        </w:rPr>
        <w:tab/>
      </w:r>
      <w:r>
        <w:rPr>
          <w:szCs w:val="21"/>
        </w:rPr>
        <w:t>GC-MS：</w:t>
      </w:r>
    </w:p>
    <w:p>
      <w:pPr>
        <w:ind w:firstLine="420" w:firstLineChars="200"/>
        <w:rPr>
          <w:szCs w:val="21"/>
        </w:rPr>
      </w:pPr>
      <w:r>
        <w:rPr>
          <w:szCs w:val="21"/>
          <w:shd w:val="clear"/>
        </w:rPr>
        <w:t>采用配有毛细管柱与质谱检测器（电子电离，El）</w:t>
      </w:r>
      <w:r>
        <w:rPr>
          <w:rFonts w:hint="eastAsia"/>
          <w:szCs w:val="21"/>
          <w:shd w:val="clear"/>
          <w:lang w:val="en-US" w:eastAsia="zh-CN"/>
        </w:rPr>
        <w:t>连接</w:t>
      </w:r>
      <w:r>
        <w:rPr>
          <w:szCs w:val="21"/>
          <w:shd w:val="clear"/>
        </w:rPr>
        <w:t>的气相色谱仪</w:t>
      </w:r>
      <w:r>
        <w:rPr>
          <w:rFonts w:hint="eastAsia"/>
          <w:szCs w:val="21"/>
          <w:shd w:val="clear"/>
          <w:lang w:val="en-US" w:eastAsia="zh-CN"/>
        </w:rPr>
        <w:t>用于</w:t>
      </w:r>
      <w:r>
        <w:rPr>
          <w:szCs w:val="21"/>
          <w:shd w:val="clear"/>
        </w:rPr>
        <w:t>分析。</w:t>
      </w:r>
      <w:r>
        <w:rPr>
          <w:szCs w:val="21"/>
        </w:rPr>
        <w:t>质谱检测器能够进行选择性离子检测，且其</w:t>
      </w:r>
      <w:r>
        <w:rPr>
          <w:rFonts w:hint="eastAsia"/>
          <w:szCs w:val="21"/>
          <w:lang w:val="en-US" w:eastAsia="zh-CN"/>
        </w:rPr>
        <w:t>检测</w:t>
      </w:r>
      <w:r>
        <w:rPr>
          <w:szCs w:val="21"/>
        </w:rPr>
        <w:t>质量上限至少为550 m/z。</w:t>
      </w:r>
      <w:r>
        <w:rPr>
          <w:rFonts w:hint="eastAsia"/>
          <w:szCs w:val="21"/>
          <w:lang w:val="en-US" w:eastAsia="zh-CN"/>
        </w:rPr>
        <w:t>宜</w:t>
      </w:r>
      <w:r>
        <w:rPr>
          <w:szCs w:val="21"/>
        </w:rPr>
        <w:t>使用自动</w:t>
      </w:r>
      <w:r>
        <w:rPr>
          <w:rFonts w:hint="eastAsia"/>
          <w:szCs w:val="21"/>
          <w:lang w:val="en-US" w:eastAsia="zh-CN"/>
        </w:rPr>
        <w:t>进</w:t>
      </w:r>
      <w:r>
        <w:rPr>
          <w:szCs w:val="21"/>
        </w:rPr>
        <w:t>样器以确保重复性。所用套圈中的石墨含量不得超过40</w:t>
      </w:r>
      <w:r>
        <w:rPr>
          <w:rFonts w:hint="eastAsia"/>
          <w:szCs w:val="21"/>
          <w:lang w:val="en-US" w:eastAsia="zh-CN"/>
        </w:rPr>
        <w:t xml:space="preserve"> </w:t>
      </w:r>
      <w:r>
        <w:rPr>
          <w:szCs w:val="21"/>
        </w:rPr>
        <w:t>%（合适套圈由60</w:t>
      </w:r>
      <w:r>
        <w:rPr>
          <w:rFonts w:hint="eastAsia"/>
          <w:szCs w:val="21"/>
          <w:lang w:val="en-US" w:eastAsia="zh-CN"/>
        </w:rPr>
        <w:t xml:space="preserve"> </w:t>
      </w:r>
      <w:r>
        <w:rPr>
          <w:szCs w:val="21"/>
        </w:rPr>
        <w:t>%的聚酰亚胺和40</w:t>
      </w:r>
      <w:r>
        <w:rPr>
          <w:rFonts w:hint="eastAsia"/>
          <w:szCs w:val="21"/>
          <w:lang w:val="en-US" w:eastAsia="zh-CN"/>
        </w:rPr>
        <w:t xml:space="preserve"> </w:t>
      </w:r>
      <w:r>
        <w:rPr>
          <w:szCs w:val="21"/>
        </w:rPr>
        <w:t>%的石墨制成），以降低吸收PAH</w:t>
      </w:r>
      <w:r>
        <w:rPr>
          <w:rFonts w:hint="eastAsia"/>
          <w:szCs w:val="21"/>
          <w:lang w:val="en-US" w:eastAsia="zh-CN"/>
        </w:rPr>
        <w:t>s</w:t>
      </w:r>
      <w:r>
        <w:rPr>
          <w:szCs w:val="21"/>
        </w:rPr>
        <w:t>的风险。</w:t>
      </w:r>
    </w:p>
    <w:p>
      <w:pPr>
        <w:ind w:left="851" w:leftChars="200" w:hanging="431"/>
        <w:rPr>
          <w:szCs w:val="21"/>
        </w:rPr>
      </w:pPr>
      <w:r>
        <w:rPr>
          <w:szCs w:val="21"/>
        </w:rPr>
        <w:t>v）</w:t>
      </w:r>
      <w:r>
        <w:rPr>
          <w:rFonts w:hint="eastAsia"/>
          <w:szCs w:val="21"/>
        </w:rPr>
        <w:tab/>
      </w:r>
      <w:r>
        <w:rPr>
          <w:szCs w:val="21"/>
        </w:rPr>
        <w:t>用于PAH</w:t>
      </w:r>
      <w:r>
        <w:rPr>
          <w:rFonts w:hint="eastAsia"/>
          <w:szCs w:val="21"/>
          <w:lang w:val="en-US" w:eastAsia="zh-CN"/>
        </w:rPr>
        <w:t>s</w:t>
      </w:r>
      <w:r>
        <w:rPr>
          <w:szCs w:val="21"/>
        </w:rPr>
        <w:t>分析的气相色谱柱：</w:t>
      </w:r>
    </w:p>
    <w:p>
      <w:pPr>
        <w:ind w:firstLine="420" w:firstLineChars="200"/>
        <w:rPr>
          <w:szCs w:val="21"/>
        </w:rPr>
      </w:pPr>
      <w:r>
        <w:rPr>
          <w:szCs w:val="21"/>
        </w:rPr>
        <w:t>对于PAH</w:t>
      </w:r>
      <w:r>
        <w:rPr>
          <w:rFonts w:hint="eastAsia"/>
          <w:szCs w:val="21"/>
          <w:lang w:val="en-US" w:eastAsia="zh-CN"/>
        </w:rPr>
        <w:t>s</w:t>
      </w:r>
      <w:r>
        <w:rPr>
          <w:szCs w:val="21"/>
        </w:rPr>
        <w:t>化合物，20 m或更长的色谱柱具有足够的分离效率。附录A给出了合适色谱柱及其分离结果的示例，见表A.2、表A.3和图A.1。</w:t>
      </w:r>
    </w:p>
    <w:p>
      <w:pPr>
        <w:ind w:firstLine="420" w:firstLineChars="200"/>
        <w:rPr>
          <w:szCs w:val="21"/>
        </w:rPr>
      </w:pPr>
      <w:r>
        <w:rPr>
          <w:szCs w:val="21"/>
        </w:rPr>
        <w:t xml:space="preserve">针对毛细管柱，建议使用5%苯基、95%甲基聚硅氧烷（例如HT8、DB-EUPAH和ZB-PAH）。首选尺寸为长度20 m，内径0.25 mm或0.18 mm，膜厚0.25 </w:t>
      </w:r>
      <w:r>
        <w:rPr>
          <w:rFonts w:hint="default" w:ascii="Times New Roman" w:hAnsi="Times New Roman" w:cs="Times New Roman"/>
          <w:szCs w:val="21"/>
        </w:rPr>
        <w:t>μ</w:t>
      </w:r>
      <w:r>
        <w:rPr>
          <w:szCs w:val="21"/>
        </w:rPr>
        <w:t xml:space="preserve">m或0.14 </w:t>
      </w:r>
      <w:r>
        <w:rPr>
          <w:rFonts w:hint="default" w:ascii="Times New Roman" w:hAnsi="Times New Roman" w:cs="Times New Roman"/>
          <w:szCs w:val="21"/>
        </w:rPr>
        <w:t>μ</w:t>
      </w:r>
      <w:r>
        <w:rPr>
          <w:szCs w:val="21"/>
        </w:rPr>
        <w:t>m。</w:t>
      </w:r>
    </w:p>
    <w:p>
      <w:pPr>
        <w:shd w:val="clear"/>
        <w:ind w:firstLine="360" w:firstLineChars="200"/>
        <w:rPr>
          <w:sz w:val="18"/>
          <w:szCs w:val="18"/>
        </w:rPr>
      </w:pPr>
      <w:r>
        <w:rPr>
          <w:rFonts w:hint="eastAsia" w:ascii="黑体" w:hAnsi="黑体" w:eastAsia="黑体" w:cs="黑体"/>
          <w:sz w:val="18"/>
          <w:szCs w:val="18"/>
        </w:rPr>
        <w:t>注：</w:t>
      </w:r>
      <w:r>
        <w:rPr>
          <w:sz w:val="18"/>
          <w:szCs w:val="18"/>
        </w:rPr>
        <w:t>根据AfPS-GS-2014-01-PAK方法，非极性DB-5MS色谱柱不适用于分离表1中列出的不同苯并荧蒽。</w:t>
      </w:r>
    </w:p>
    <w:p>
      <w:pPr>
        <w:widowControl/>
        <w:spacing w:before="312" w:beforeLines="100" w:after="312" w:afterLines="100"/>
        <w:outlineLvl w:val="0"/>
        <w:rPr>
          <w:rFonts w:hint="eastAsia" w:ascii="黑体" w:hAnsi="黑体" w:eastAsia="黑体"/>
          <w:kern w:val="0"/>
          <w:szCs w:val="20"/>
          <w:lang w:val="en-US" w:eastAsia="zh-CN"/>
        </w:rPr>
      </w:pPr>
      <w:bookmarkStart w:id="28" w:name="_Toc4547"/>
      <w:bookmarkStart w:id="29" w:name="_Toc31996"/>
      <w:r>
        <w:rPr>
          <w:rFonts w:ascii="黑体" w:hAnsi="黑体" w:eastAsia="黑体"/>
          <w:kern w:val="0"/>
          <w:szCs w:val="20"/>
        </w:rPr>
        <w:t xml:space="preserve">7 </w:t>
      </w:r>
      <w:bookmarkEnd w:id="28"/>
      <w:bookmarkEnd w:id="29"/>
      <w:r>
        <w:rPr>
          <w:rFonts w:hint="eastAsia" w:ascii="黑体" w:hAnsi="黑体" w:eastAsia="黑体"/>
          <w:kern w:val="0"/>
          <w:szCs w:val="20"/>
          <w:lang w:val="en-US" w:eastAsia="zh-CN"/>
        </w:rPr>
        <w:t>制样</w:t>
      </w:r>
    </w:p>
    <w:p>
      <w:pPr>
        <w:ind w:firstLine="420" w:firstLineChars="200"/>
        <w:rPr>
          <w:szCs w:val="21"/>
        </w:rPr>
      </w:pPr>
      <w:r>
        <w:rPr>
          <w:szCs w:val="21"/>
        </w:rPr>
        <w:t>如</w:t>
      </w:r>
      <w:r>
        <w:rPr>
          <w:rFonts w:hint="eastAsia"/>
          <w:szCs w:val="21"/>
          <w:lang w:val="en-US" w:eastAsia="zh-CN"/>
        </w:rPr>
        <w:t>GB/T</w:t>
      </w:r>
      <w:r>
        <w:rPr>
          <w:szCs w:val="21"/>
        </w:rPr>
        <w:t xml:space="preserve"> </w:t>
      </w:r>
      <w:r>
        <w:rPr>
          <w:rFonts w:hint="eastAsia"/>
          <w:szCs w:val="21"/>
          <w:lang w:val="en-US" w:eastAsia="zh-CN"/>
        </w:rPr>
        <w:t>39560.2</w:t>
      </w:r>
      <w:r>
        <w:rPr>
          <w:szCs w:val="21"/>
        </w:rPr>
        <w:t>中所述，除非另有说明（例如“使用刀具”），</w:t>
      </w:r>
      <w:r>
        <w:rPr>
          <w:rFonts w:hint="eastAsia"/>
          <w:szCs w:val="21"/>
        </w:rPr>
        <w:t>否则建议使用液氮冷冻研磨，研磨后的样品需过500 μm的筛子，选取过筛后的试样进行测试。</w:t>
      </w:r>
      <w:r>
        <w:rPr>
          <w:szCs w:val="21"/>
        </w:rPr>
        <w:t>。</w:t>
      </w:r>
    </w:p>
    <w:p>
      <w:pPr>
        <w:ind w:firstLine="420" w:firstLineChars="200"/>
        <w:rPr>
          <w:szCs w:val="21"/>
        </w:rPr>
      </w:pPr>
      <w:r>
        <w:rPr>
          <w:szCs w:val="21"/>
        </w:rPr>
        <w:t>如果样品不立即进行测试，则应将其存放在密封的玻璃容器中，并置于阴凉</w:t>
      </w:r>
      <w:r>
        <w:rPr>
          <w:rFonts w:hint="eastAsia"/>
          <w:szCs w:val="21"/>
          <w:lang w:val="en-US" w:eastAsia="zh-CN"/>
        </w:rPr>
        <w:t>黑暗</w:t>
      </w:r>
      <w:r>
        <w:rPr>
          <w:szCs w:val="21"/>
        </w:rPr>
        <w:t>处。</w:t>
      </w:r>
    </w:p>
    <w:p>
      <w:pPr>
        <w:ind w:firstLine="420" w:firstLineChars="200"/>
        <w:rPr>
          <w:szCs w:val="21"/>
        </w:rPr>
      </w:pPr>
      <w:r>
        <w:rPr>
          <w:szCs w:val="21"/>
        </w:rPr>
        <w:t>确认玻璃器皿已彻底清洗干净，并通过空白分析确定所有可能与样品接触的新材料均不会造成干扰。</w:t>
      </w:r>
    </w:p>
    <w:p>
      <w:pPr>
        <w:ind w:firstLine="360" w:firstLineChars="200"/>
        <w:rPr>
          <w:rFonts w:hint="eastAsia" w:ascii="宋体" w:hAnsi="宋体" w:eastAsia="宋体" w:cs="宋体"/>
          <w:sz w:val="18"/>
          <w:szCs w:val="18"/>
        </w:rPr>
      </w:pPr>
      <w:r>
        <w:rPr>
          <w:rFonts w:hint="eastAsia" w:ascii="黑体" w:hAnsi="黑体" w:eastAsia="黑体" w:cs="黑体"/>
          <w:sz w:val="18"/>
          <w:szCs w:val="18"/>
        </w:rPr>
        <w:t>注：</w:t>
      </w:r>
      <w:r>
        <w:rPr>
          <w:rFonts w:hint="eastAsia" w:ascii="宋体" w:hAnsi="宋体" w:eastAsia="宋体" w:cs="宋体"/>
          <w:sz w:val="18"/>
          <w:szCs w:val="18"/>
        </w:rPr>
        <w:t>由玻璃器皿、溶剂和其他可能与样品接触的材料造成的污染</w:t>
      </w:r>
      <w:r>
        <w:rPr>
          <w:rFonts w:hint="eastAsia" w:ascii="宋体" w:hAnsi="宋体" w:cs="宋体"/>
          <w:sz w:val="18"/>
          <w:szCs w:val="18"/>
          <w:lang w:val="en-US" w:eastAsia="zh-CN"/>
        </w:rPr>
        <w:t>可能</w:t>
      </w:r>
      <w:r>
        <w:rPr>
          <w:rFonts w:hint="eastAsia" w:ascii="宋体" w:hAnsi="宋体" w:eastAsia="宋体" w:cs="宋体"/>
          <w:sz w:val="18"/>
          <w:szCs w:val="18"/>
        </w:rPr>
        <w:t>会对结果造成影响的干扰。这种干扰会形成伪影或会增加检测器的基线。干扰也可能来自于样品中与特定目标PAH</w:t>
      </w:r>
      <w:r>
        <w:rPr>
          <w:rFonts w:hint="eastAsia" w:ascii="宋体" w:hAnsi="宋体" w:cs="宋体"/>
          <w:sz w:val="18"/>
          <w:szCs w:val="18"/>
          <w:lang w:val="en-US" w:eastAsia="zh-CN"/>
        </w:rPr>
        <w:t>s</w:t>
      </w:r>
      <w:r>
        <w:rPr>
          <w:rFonts w:hint="eastAsia" w:ascii="宋体" w:hAnsi="宋体" w:eastAsia="宋体" w:cs="宋体"/>
          <w:sz w:val="18"/>
          <w:szCs w:val="18"/>
        </w:rPr>
        <w:t>共同洗脱的成分。</w:t>
      </w:r>
    </w:p>
    <w:p>
      <w:pPr>
        <w:widowControl/>
        <w:spacing w:before="312" w:beforeLines="100" w:after="312" w:afterLines="100"/>
        <w:outlineLvl w:val="0"/>
        <w:rPr>
          <w:rFonts w:ascii="黑体" w:hAnsi="黑体" w:eastAsia="黑体"/>
          <w:kern w:val="0"/>
          <w:szCs w:val="20"/>
        </w:rPr>
      </w:pPr>
      <w:bookmarkStart w:id="30" w:name="_Toc30018"/>
      <w:bookmarkStart w:id="31" w:name="_Toc26273"/>
      <w:r>
        <w:rPr>
          <w:rFonts w:ascii="黑体" w:hAnsi="黑体" w:eastAsia="黑体"/>
          <w:kern w:val="0"/>
          <w:szCs w:val="20"/>
        </w:rPr>
        <w:t>8 程序</w:t>
      </w:r>
      <w:bookmarkEnd w:id="30"/>
      <w:bookmarkEnd w:id="31"/>
    </w:p>
    <w:p>
      <w:pPr>
        <w:pStyle w:val="47"/>
      </w:pPr>
      <w:r>
        <w:t>8.1 分析的一般说明</w:t>
      </w:r>
    </w:p>
    <w:p>
      <w:pPr>
        <w:ind w:firstLine="420" w:firstLineChars="200"/>
        <w:rPr>
          <w:szCs w:val="21"/>
        </w:rPr>
      </w:pPr>
      <w:r>
        <w:rPr>
          <w:szCs w:val="21"/>
        </w:rPr>
        <w:t>遵循以下一般说明：</w:t>
      </w:r>
    </w:p>
    <w:p>
      <w:pPr>
        <w:ind w:firstLine="420" w:firstLineChars="200"/>
        <w:rPr>
          <w:szCs w:val="21"/>
        </w:rPr>
      </w:pPr>
      <w:r>
        <w:rPr>
          <w:szCs w:val="21"/>
        </w:rPr>
        <w:t>仪器的确认</w:t>
      </w:r>
      <w:r>
        <w:rPr>
          <w:rFonts w:hint="eastAsia"/>
          <w:szCs w:val="21"/>
          <w:lang w:val="en-US" w:eastAsia="zh-CN"/>
        </w:rPr>
        <w:t>宜</w:t>
      </w:r>
      <w:r>
        <w:rPr>
          <w:szCs w:val="21"/>
        </w:rPr>
        <w:t>包括测试连续样品之间的潜在交叉污染。额外的空白样品或相反的测试顺序将有助于识别交叉污染。</w:t>
      </w:r>
    </w:p>
    <w:p>
      <w:pPr>
        <w:ind w:firstLine="420" w:firstLineChars="200"/>
        <w:rPr>
          <w:szCs w:val="21"/>
        </w:rPr>
      </w:pPr>
      <w:r>
        <w:rPr>
          <w:szCs w:val="21"/>
        </w:rPr>
        <w:t>有关PAH</w:t>
      </w:r>
      <w:r>
        <w:rPr>
          <w:rFonts w:hint="eastAsia"/>
          <w:szCs w:val="21"/>
          <w:lang w:val="en-US" w:eastAsia="zh-CN"/>
        </w:rPr>
        <w:t>s</w:t>
      </w:r>
      <w:r>
        <w:rPr>
          <w:szCs w:val="21"/>
        </w:rPr>
        <w:t>测试的实验室器具清洁程序的指南，参见附录C。</w:t>
      </w:r>
    </w:p>
    <w:p>
      <w:pPr>
        <w:ind w:firstLine="420" w:firstLineChars="200"/>
        <w:rPr>
          <w:szCs w:val="21"/>
        </w:rPr>
      </w:pPr>
      <w:r>
        <w:rPr>
          <w:szCs w:val="21"/>
        </w:rPr>
        <w:t>为避免PAH</w:t>
      </w:r>
      <w:r>
        <w:rPr>
          <w:rFonts w:hint="eastAsia"/>
          <w:szCs w:val="21"/>
          <w:lang w:val="en-US" w:eastAsia="zh-CN"/>
        </w:rPr>
        <w:t>s</w:t>
      </w:r>
      <w:r>
        <w:rPr>
          <w:szCs w:val="21"/>
        </w:rPr>
        <w:t>在提取和分析过程中被紫外线分解，</w:t>
      </w:r>
      <w:r>
        <w:rPr>
          <w:rFonts w:hint="eastAsia"/>
          <w:szCs w:val="21"/>
          <w:lang w:val="en-US" w:eastAsia="zh-CN"/>
        </w:rPr>
        <w:t>宜</w:t>
      </w:r>
      <w:r>
        <w:rPr>
          <w:szCs w:val="21"/>
        </w:rPr>
        <w:t>使用由棕色或琥珀色玻璃制成的玻璃设备。</w:t>
      </w:r>
    </w:p>
    <w:p>
      <w:pPr>
        <w:ind w:firstLine="360" w:firstLineChars="200"/>
        <w:rPr>
          <w:szCs w:val="21"/>
        </w:rPr>
      </w:pPr>
      <w:r>
        <w:rPr>
          <w:rFonts w:hint="eastAsia" w:ascii="黑体" w:hAnsi="黑体" w:eastAsia="黑体" w:cs="黑体"/>
          <w:sz w:val="18"/>
          <w:szCs w:val="18"/>
        </w:rPr>
        <w:t>注：</w:t>
      </w:r>
      <w:r>
        <w:rPr>
          <w:sz w:val="18"/>
          <w:szCs w:val="18"/>
        </w:rPr>
        <w:t>如果没有棕色或琥珀色玻璃，可以用铝箔来遮挡光线。</w:t>
      </w:r>
    </w:p>
    <w:p>
      <w:pPr>
        <w:pStyle w:val="47"/>
      </w:pPr>
      <w:r>
        <w:t>8.2 样品制备</w:t>
      </w:r>
    </w:p>
    <w:p>
      <w:pPr>
        <w:widowControl/>
        <w:spacing w:before="156" w:beforeLines="50" w:after="156" w:afterLines="50"/>
        <w:jc w:val="left"/>
        <w:outlineLvl w:val="4"/>
        <w:rPr>
          <w:rFonts w:hint="eastAsia" w:ascii="黑体" w:hAnsi="黑体" w:eastAsia="黑体"/>
          <w:kern w:val="0"/>
          <w:szCs w:val="21"/>
          <w:lang w:val="en-US" w:eastAsia="zh-CN"/>
        </w:rPr>
      </w:pPr>
      <w:r>
        <w:rPr>
          <w:rFonts w:ascii="黑体" w:hAnsi="黑体" w:eastAsia="黑体"/>
          <w:kern w:val="0"/>
          <w:szCs w:val="21"/>
        </w:rPr>
        <w:t>8.2.1 超声波提取</w:t>
      </w:r>
      <w:r>
        <w:rPr>
          <w:rFonts w:hint="eastAsia" w:ascii="黑体" w:hAnsi="黑体" w:eastAsia="黑体"/>
          <w:kern w:val="0"/>
          <w:szCs w:val="21"/>
          <w:lang w:val="en-US" w:eastAsia="zh-CN"/>
        </w:rPr>
        <w:t>法</w:t>
      </w:r>
    </w:p>
    <w:p>
      <w:pPr>
        <w:ind w:firstLine="420" w:firstLineChars="200"/>
        <w:rPr>
          <w:szCs w:val="21"/>
        </w:rPr>
      </w:pPr>
      <w:r>
        <w:rPr>
          <w:szCs w:val="21"/>
        </w:rPr>
        <w:t>提取样品时</w:t>
      </w:r>
      <w:r>
        <w:rPr>
          <w:rFonts w:hint="eastAsia"/>
          <w:szCs w:val="21"/>
          <w:lang w:val="en-US" w:eastAsia="zh-CN"/>
        </w:rPr>
        <w:t>按照</w:t>
      </w:r>
      <w:r>
        <w:rPr>
          <w:szCs w:val="21"/>
        </w:rPr>
        <w:t>以下步骤：</w:t>
      </w:r>
    </w:p>
    <w:p>
      <w:pPr>
        <w:ind w:firstLine="420" w:firstLineChars="200"/>
        <w:rPr>
          <w:szCs w:val="21"/>
        </w:rPr>
      </w:pPr>
      <w:r>
        <w:rPr>
          <w:szCs w:val="21"/>
        </w:rPr>
        <w:t xml:space="preserve">样品应预先切割成小于5 mm x 5 mm和/或采用液氮冷却完成低温研磨或将样品材料切割成2 mm至3 mm。将500 mg ± 10 mg的样品定量转移到容器中（6 </w:t>
      </w:r>
      <w:r>
        <w:rPr>
          <w:rFonts w:hint="eastAsia"/>
          <w:szCs w:val="21"/>
          <w:lang w:val="en-US" w:eastAsia="zh-CN"/>
        </w:rPr>
        <w:t>.</w:t>
      </w:r>
      <w:r>
        <w:rPr>
          <w:szCs w:val="21"/>
        </w:rPr>
        <w:t>e））。</w:t>
      </w:r>
    </w:p>
    <w:p>
      <w:pPr>
        <w:ind w:firstLine="420" w:firstLineChars="200"/>
        <w:rPr>
          <w:szCs w:val="21"/>
        </w:rPr>
      </w:pPr>
      <w:r>
        <w:rPr>
          <w:szCs w:val="21"/>
        </w:rPr>
        <w:t>a）</w:t>
      </w:r>
      <w:r>
        <w:rPr>
          <w:rFonts w:hint="eastAsia"/>
          <w:szCs w:val="21"/>
        </w:rPr>
        <w:tab/>
      </w:r>
      <w:r>
        <w:rPr>
          <w:szCs w:val="21"/>
        </w:rPr>
        <w:t xml:space="preserve">称取 500 mg ± 10 mg样品到40 ml琥珀色容器中（6 </w:t>
      </w:r>
      <w:r>
        <w:rPr>
          <w:rFonts w:hint="eastAsia"/>
          <w:szCs w:val="21"/>
          <w:lang w:val="en-US" w:eastAsia="zh-CN"/>
        </w:rPr>
        <w:t>.</w:t>
      </w:r>
      <w:r>
        <w:rPr>
          <w:szCs w:val="21"/>
        </w:rPr>
        <w:t>e））。记录质量，精确到0</w:t>
      </w:r>
      <w:r>
        <w:rPr>
          <w:rFonts w:hint="eastAsia"/>
          <w:szCs w:val="21"/>
          <w:lang w:val="en-US" w:eastAsia="zh-CN"/>
        </w:rPr>
        <w:t>.</w:t>
      </w:r>
      <w:r>
        <w:rPr>
          <w:szCs w:val="21"/>
        </w:rPr>
        <w:t>1 mg。</w:t>
      </w:r>
    </w:p>
    <w:p>
      <w:pPr>
        <w:ind w:firstLine="420" w:firstLineChars="200"/>
        <w:rPr>
          <w:szCs w:val="21"/>
        </w:rPr>
      </w:pPr>
      <w:r>
        <w:rPr>
          <w:szCs w:val="21"/>
        </w:rPr>
        <w:t>b）</w:t>
      </w:r>
      <w:r>
        <w:rPr>
          <w:rFonts w:hint="eastAsia"/>
          <w:szCs w:val="21"/>
        </w:rPr>
        <w:tab/>
      </w:r>
      <w:r>
        <w:rPr>
          <w:szCs w:val="21"/>
        </w:rPr>
        <w:t>将 20 μ</w:t>
      </w:r>
      <w:r>
        <w:rPr>
          <w:rFonts w:hint="eastAsia"/>
          <w:szCs w:val="21"/>
          <w:lang w:val="en-US" w:eastAsia="zh-CN"/>
        </w:rPr>
        <w:t>L</w:t>
      </w:r>
      <w:r>
        <w:rPr>
          <w:rFonts w:hint="eastAsia"/>
          <w:szCs w:val="21"/>
          <w:lang w:eastAsia="zh-CN"/>
        </w:rPr>
        <w:t>标记</w:t>
      </w:r>
      <w:r>
        <w:rPr>
          <w:szCs w:val="21"/>
        </w:rPr>
        <w:t xml:space="preserve">物（5 </w:t>
      </w:r>
      <w:r>
        <w:rPr>
          <w:rFonts w:hint="eastAsia"/>
          <w:szCs w:val="21"/>
          <w:lang w:val="en-US" w:eastAsia="zh-CN"/>
        </w:rPr>
        <w:t>.</w:t>
      </w:r>
      <w:r>
        <w:rPr>
          <w:szCs w:val="21"/>
        </w:rPr>
        <w:t>f））（100 μg/ml）加入40 m</w:t>
      </w:r>
      <w:r>
        <w:rPr>
          <w:rFonts w:hint="eastAsia"/>
          <w:szCs w:val="21"/>
          <w:lang w:val="en-US" w:eastAsia="zh-CN"/>
        </w:rPr>
        <w:t>L</w:t>
      </w:r>
      <w:r>
        <w:rPr>
          <w:szCs w:val="21"/>
        </w:rPr>
        <w:t>琥珀色容器中。</w:t>
      </w:r>
    </w:p>
    <w:p>
      <w:pPr>
        <w:ind w:left="851" w:leftChars="200" w:hanging="431"/>
        <w:rPr>
          <w:szCs w:val="21"/>
        </w:rPr>
      </w:pPr>
      <w:r>
        <w:rPr>
          <w:szCs w:val="21"/>
        </w:rPr>
        <w:t>c）</w:t>
      </w:r>
      <w:r>
        <w:rPr>
          <w:rFonts w:hint="eastAsia"/>
          <w:szCs w:val="21"/>
        </w:rPr>
        <w:tab/>
      </w:r>
      <w:r>
        <w:rPr>
          <w:szCs w:val="21"/>
        </w:rPr>
        <w:t>将20 m</w:t>
      </w:r>
      <w:r>
        <w:rPr>
          <w:rFonts w:hint="eastAsia"/>
          <w:szCs w:val="21"/>
          <w:lang w:val="en-US" w:eastAsia="zh-CN"/>
        </w:rPr>
        <w:t>L</w:t>
      </w:r>
      <w:r>
        <w:rPr>
          <w:szCs w:val="21"/>
        </w:rPr>
        <w:t xml:space="preserve">甲苯（5 </w:t>
      </w:r>
      <w:r>
        <w:rPr>
          <w:rFonts w:hint="eastAsia"/>
          <w:szCs w:val="21"/>
          <w:lang w:val="en-US" w:eastAsia="zh-CN"/>
        </w:rPr>
        <w:t>.</w:t>
      </w:r>
      <w:r>
        <w:rPr>
          <w:szCs w:val="21"/>
        </w:rPr>
        <w:t>d））和20 μ</w:t>
      </w:r>
      <w:r>
        <w:rPr>
          <w:rFonts w:hint="eastAsia"/>
          <w:szCs w:val="21"/>
          <w:lang w:val="en-US" w:eastAsia="zh-CN"/>
        </w:rPr>
        <w:t>L</w:t>
      </w:r>
      <w:r>
        <w:rPr>
          <w:szCs w:val="21"/>
        </w:rPr>
        <w:t>内标物（8.4.4</w:t>
      </w:r>
      <w:r>
        <w:rPr>
          <w:rFonts w:hint="eastAsia"/>
          <w:szCs w:val="21"/>
          <w:lang w:val="en-US" w:eastAsia="zh-CN"/>
        </w:rPr>
        <w:t>.</w:t>
      </w:r>
      <w:r>
        <w:rPr>
          <w:szCs w:val="21"/>
        </w:rPr>
        <w:t xml:space="preserve"> c））（100 μg/m</w:t>
      </w:r>
      <w:r>
        <w:rPr>
          <w:rFonts w:hint="eastAsia"/>
          <w:szCs w:val="21"/>
          <w:lang w:val="en-US" w:eastAsia="zh-CN"/>
        </w:rPr>
        <w:t>L</w:t>
      </w:r>
      <w:r>
        <w:rPr>
          <w:szCs w:val="21"/>
        </w:rPr>
        <w:t>）转移到40 m</w:t>
      </w:r>
      <w:r>
        <w:rPr>
          <w:rFonts w:hint="eastAsia"/>
          <w:szCs w:val="21"/>
          <w:lang w:val="en-US" w:eastAsia="zh-CN"/>
        </w:rPr>
        <w:t>L</w:t>
      </w:r>
      <w:r>
        <w:rPr>
          <w:szCs w:val="21"/>
        </w:rPr>
        <w:t xml:space="preserve">琥珀色容器中（6 </w:t>
      </w:r>
      <w:r>
        <w:rPr>
          <w:rFonts w:hint="eastAsia"/>
          <w:szCs w:val="21"/>
          <w:lang w:val="en-US" w:eastAsia="zh-CN"/>
        </w:rPr>
        <w:t>.</w:t>
      </w:r>
      <w:r>
        <w:rPr>
          <w:szCs w:val="21"/>
        </w:rPr>
        <w:t>e））。</w:t>
      </w:r>
    </w:p>
    <w:p>
      <w:pPr>
        <w:ind w:left="851" w:leftChars="200" w:hanging="431"/>
        <w:rPr>
          <w:szCs w:val="21"/>
        </w:rPr>
      </w:pPr>
      <w:r>
        <w:rPr>
          <w:szCs w:val="21"/>
        </w:rPr>
        <w:t>d）</w:t>
      </w:r>
      <w:r>
        <w:rPr>
          <w:rFonts w:hint="eastAsia"/>
          <w:szCs w:val="21"/>
        </w:rPr>
        <w:tab/>
      </w:r>
      <w:r>
        <w:rPr>
          <w:szCs w:val="21"/>
        </w:rPr>
        <w:t xml:space="preserve">将其置于超声波提取器中（6 </w:t>
      </w:r>
      <w:r>
        <w:rPr>
          <w:rFonts w:hint="eastAsia"/>
          <w:szCs w:val="21"/>
          <w:lang w:val="en-US" w:eastAsia="zh-CN"/>
        </w:rPr>
        <w:t>.3</w:t>
      </w:r>
      <w:r>
        <w:rPr>
          <w:szCs w:val="21"/>
        </w:rPr>
        <w:t>s））并在 60°C 下对其进行超声</w:t>
      </w:r>
      <w:r>
        <w:rPr>
          <w:rFonts w:hint="eastAsia"/>
          <w:szCs w:val="21"/>
          <w:lang w:val="en-US" w:eastAsia="zh-CN"/>
        </w:rPr>
        <w:t>萃取</w:t>
      </w:r>
      <w:r>
        <w:rPr>
          <w:szCs w:val="21"/>
        </w:rPr>
        <w:t>约1</w:t>
      </w:r>
      <w:r>
        <w:rPr>
          <w:rFonts w:hint="eastAsia"/>
          <w:szCs w:val="21"/>
          <w:lang w:val="en-US" w:eastAsia="zh-CN"/>
        </w:rPr>
        <w:t>h</w:t>
      </w:r>
      <w:r>
        <w:rPr>
          <w:szCs w:val="21"/>
        </w:rPr>
        <w:t>，在室温下冷却。</w:t>
      </w:r>
    </w:p>
    <w:p>
      <w:pPr>
        <w:ind w:left="851" w:leftChars="200" w:hanging="431"/>
        <w:rPr>
          <w:szCs w:val="21"/>
        </w:rPr>
      </w:pPr>
      <w:r>
        <w:rPr>
          <w:szCs w:val="21"/>
        </w:rPr>
        <w:t>e）</w:t>
      </w:r>
      <w:r>
        <w:rPr>
          <w:rFonts w:hint="eastAsia"/>
          <w:szCs w:val="21"/>
        </w:rPr>
        <w:tab/>
      </w:r>
      <w:r>
        <w:rPr>
          <w:rFonts w:hint="eastAsia"/>
          <w:szCs w:val="21"/>
          <w:lang w:val="en-US" w:eastAsia="zh-CN"/>
        </w:rPr>
        <w:t>使</w:t>
      </w:r>
      <w:r>
        <w:rPr>
          <w:szCs w:val="21"/>
        </w:rPr>
        <w:t>聚合物沉降或</w:t>
      </w:r>
      <w:r>
        <w:rPr>
          <w:rFonts w:hint="eastAsia"/>
          <w:szCs w:val="21"/>
          <w:lang w:val="en-US" w:eastAsia="zh-CN"/>
        </w:rPr>
        <w:t>使用</w:t>
      </w:r>
      <w:r>
        <w:rPr>
          <w:szCs w:val="21"/>
        </w:rPr>
        <w:t xml:space="preserve">0.45 </w:t>
      </w:r>
      <w:r>
        <w:rPr>
          <w:rFonts w:hint="default" w:ascii="Times New Roman" w:hAnsi="Times New Roman" w:cs="Times New Roman"/>
          <w:szCs w:val="21"/>
        </w:rPr>
        <w:t>μ</w:t>
      </w:r>
      <w:r>
        <w:rPr>
          <w:szCs w:val="21"/>
        </w:rPr>
        <w:t xml:space="preserve">m </w:t>
      </w:r>
      <w:r>
        <w:rPr>
          <w:rFonts w:hint="eastAsia"/>
          <w:szCs w:val="21"/>
          <w:lang w:val="en-US" w:eastAsia="zh-CN"/>
        </w:rPr>
        <w:t>聚四氟乙烯</w:t>
      </w:r>
      <w:r>
        <w:rPr>
          <w:szCs w:val="21"/>
        </w:rPr>
        <w:t>膜过滤</w:t>
      </w:r>
      <w:r>
        <w:rPr>
          <w:rFonts w:hint="eastAsia"/>
          <w:szCs w:val="21"/>
          <w:lang w:val="en-US" w:eastAsia="zh-CN"/>
        </w:rPr>
        <w:t>萃取液</w:t>
      </w:r>
      <w:r>
        <w:rPr>
          <w:szCs w:val="21"/>
        </w:rPr>
        <w:t>。</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8.2.2 索氏提取法</w:t>
      </w:r>
    </w:p>
    <w:p>
      <w:pPr>
        <w:ind w:firstLine="420" w:firstLineChars="200"/>
        <w:rPr>
          <w:szCs w:val="21"/>
        </w:rPr>
      </w:pPr>
      <w:r>
        <w:rPr>
          <w:szCs w:val="21"/>
        </w:rPr>
        <w:t>索氏提取法采用以下程序：</w:t>
      </w:r>
    </w:p>
    <w:p>
      <w:pPr>
        <w:ind w:left="851" w:leftChars="200" w:hanging="431"/>
        <w:rPr>
          <w:szCs w:val="21"/>
        </w:rPr>
      </w:pPr>
      <w:r>
        <w:rPr>
          <w:szCs w:val="21"/>
        </w:rPr>
        <w:t>a）</w:t>
      </w:r>
      <w:r>
        <w:rPr>
          <w:rFonts w:hint="eastAsia"/>
          <w:szCs w:val="21"/>
        </w:rPr>
        <w:tab/>
      </w:r>
      <w:r>
        <w:rPr>
          <w:szCs w:val="21"/>
        </w:rPr>
        <w:t>将500 mg ± 10 mg样品定量转移到纤维素提取套管中进行索氏提取。记录质量，精确到0.1 mg。</w:t>
      </w:r>
    </w:p>
    <w:p>
      <w:pPr>
        <w:ind w:left="851" w:leftChars="200" w:hanging="431"/>
        <w:rPr>
          <w:szCs w:val="21"/>
        </w:rPr>
      </w:pPr>
      <w:r>
        <w:rPr>
          <w:szCs w:val="21"/>
        </w:rPr>
        <w:t>b）</w:t>
      </w:r>
      <w:r>
        <w:rPr>
          <w:rFonts w:hint="eastAsia"/>
          <w:szCs w:val="21"/>
        </w:rPr>
        <w:tab/>
      </w:r>
      <w:r>
        <w:rPr>
          <w:szCs w:val="21"/>
        </w:rPr>
        <w:t>使用漏斗将样品转移至提取套管中。为了确保定量转移，用大约10 m</w:t>
      </w:r>
      <w:r>
        <w:rPr>
          <w:rFonts w:hint="eastAsia"/>
          <w:szCs w:val="21"/>
          <w:lang w:val="en-US" w:eastAsia="zh-CN"/>
        </w:rPr>
        <w:t>L</w:t>
      </w:r>
      <w:r>
        <w:rPr>
          <w:szCs w:val="21"/>
        </w:rPr>
        <w:t>的甲苯冲洗漏斗。</w:t>
      </w:r>
    </w:p>
    <w:p>
      <w:pPr>
        <w:ind w:left="851" w:leftChars="200" w:hanging="431"/>
        <w:rPr>
          <w:szCs w:val="21"/>
        </w:rPr>
      </w:pPr>
      <w:r>
        <w:rPr>
          <w:szCs w:val="21"/>
        </w:rPr>
        <w:t>c）</w:t>
      </w:r>
      <w:r>
        <w:rPr>
          <w:rFonts w:hint="eastAsia"/>
          <w:szCs w:val="21"/>
        </w:rPr>
        <w:tab/>
      </w:r>
      <w:r>
        <w:rPr>
          <w:szCs w:val="21"/>
        </w:rPr>
        <w:t>加入10 μ</w:t>
      </w:r>
      <w:r>
        <w:rPr>
          <w:rFonts w:hint="eastAsia"/>
          <w:szCs w:val="21"/>
          <w:lang w:val="en-US" w:eastAsia="zh-CN"/>
        </w:rPr>
        <w:t>L</w:t>
      </w:r>
      <w:r>
        <w:rPr>
          <w:rFonts w:hint="eastAsia"/>
          <w:szCs w:val="21"/>
          <w:lang w:eastAsia="zh-CN"/>
        </w:rPr>
        <w:t>标记物</w:t>
      </w:r>
      <w:r>
        <w:rPr>
          <w:szCs w:val="21"/>
        </w:rPr>
        <w:t>（8.4.5</w:t>
      </w:r>
      <w:r>
        <w:rPr>
          <w:rFonts w:hint="eastAsia"/>
          <w:szCs w:val="21"/>
          <w:lang w:val="en-US" w:eastAsia="zh-CN"/>
        </w:rPr>
        <w:t>.</w:t>
      </w:r>
      <w:r>
        <w:rPr>
          <w:szCs w:val="21"/>
        </w:rPr>
        <w:t xml:space="preserve"> d））（50 μg/m</w:t>
      </w:r>
      <w:r>
        <w:rPr>
          <w:rFonts w:hint="eastAsia"/>
          <w:szCs w:val="21"/>
          <w:lang w:val="en-US" w:eastAsia="zh-CN"/>
        </w:rPr>
        <w:t>L</w:t>
      </w:r>
      <w:r>
        <w:rPr>
          <w:szCs w:val="21"/>
        </w:rPr>
        <w:t>）。</w:t>
      </w:r>
    </w:p>
    <w:p>
      <w:pPr>
        <w:ind w:left="851" w:leftChars="200" w:hanging="431"/>
        <w:rPr>
          <w:szCs w:val="21"/>
        </w:rPr>
      </w:pPr>
      <w:r>
        <w:rPr>
          <w:szCs w:val="21"/>
        </w:rPr>
        <w:t>d）</w:t>
      </w:r>
      <w:r>
        <w:rPr>
          <w:rFonts w:hint="eastAsia"/>
          <w:szCs w:val="21"/>
        </w:rPr>
        <w:tab/>
      </w:r>
      <w:r>
        <w:rPr>
          <w:szCs w:val="21"/>
        </w:rPr>
        <w:t>用玻璃棉覆盖套管以防止样品漂浮。</w:t>
      </w:r>
    </w:p>
    <w:p>
      <w:pPr>
        <w:ind w:left="851" w:leftChars="200" w:hanging="431"/>
        <w:rPr>
          <w:szCs w:val="21"/>
        </w:rPr>
      </w:pPr>
      <w:r>
        <w:rPr>
          <w:szCs w:val="21"/>
        </w:rPr>
        <w:t>e）</w:t>
      </w:r>
      <w:r>
        <w:rPr>
          <w:rFonts w:hint="eastAsia"/>
          <w:szCs w:val="21"/>
        </w:rPr>
        <w:tab/>
      </w:r>
      <w:r>
        <w:rPr>
          <w:szCs w:val="21"/>
        </w:rPr>
        <w:t>采用大约120 m</w:t>
      </w:r>
      <w:r>
        <w:rPr>
          <w:rFonts w:hint="eastAsia"/>
          <w:szCs w:val="21"/>
          <w:lang w:val="en-US" w:eastAsia="zh-CN"/>
        </w:rPr>
        <w:t>L</w:t>
      </w:r>
      <w:r>
        <w:rPr>
          <w:szCs w:val="21"/>
        </w:rPr>
        <w:t>甲苯进行回流提取。确保样品提取时间至少达到6</w:t>
      </w:r>
      <w:r>
        <w:rPr>
          <w:rFonts w:hint="eastAsia"/>
          <w:szCs w:val="21"/>
          <w:lang w:val="en-US" w:eastAsia="zh-CN"/>
        </w:rPr>
        <w:t>h</w:t>
      </w:r>
      <w:r>
        <w:rPr>
          <w:szCs w:val="21"/>
        </w:rPr>
        <w:t>（每小时6到8个循环）。提取时间过短可能会导致分析的回收率降低。</w:t>
      </w:r>
    </w:p>
    <w:p>
      <w:pPr>
        <w:ind w:left="851" w:leftChars="200" w:hanging="431"/>
        <w:rPr>
          <w:szCs w:val="21"/>
        </w:rPr>
      </w:pPr>
      <w:r>
        <w:rPr>
          <w:szCs w:val="21"/>
        </w:rPr>
        <w:t>f）</w:t>
      </w:r>
      <w:r>
        <w:rPr>
          <w:rFonts w:hint="eastAsia"/>
          <w:szCs w:val="21"/>
        </w:rPr>
        <w:tab/>
      </w:r>
      <w:r>
        <w:rPr>
          <w:szCs w:val="21"/>
        </w:rPr>
        <w:t>回流6</w:t>
      </w:r>
      <w:r>
        <w:rPr>
          <w:rFonts w:hint="eastAsia"/>
          <w:szCs w:val="21"/>
          <w:lang w:val="en-US" w:eastAsia="zh-CN"/>
        </w:rPr>
        <w:t>h</w:t>
      </w:r>
      <w:r>
        <w:rPr>
          <w:szCs w:val="21"/>
        </w:rPr>
        <w:t>后，使用真空旋转蒸发器将提取物浓缩至约2m</w:t>
      </w:r>
      <w:r>
        <w:rPr>
          <w:rFonts w:hint="eastAsia"/>
          <w:szCs w:val="21"/>
          <w:lang w:val="en-US" w:eastAsia="zh-CN"/>
        </w:rPr>
        <w:t>L</w:t>
      </w:r>
      <w:r>
        <w:rPr>
          <w:szCs w:val="21"/>
        </w:rPr>
        <w:t>。然后加入10 μ</w:t>
      </w:r>
      <w:r>
        <w:rPr>
          <w:rFonts w:hint="eastAsia"/>
          <w:szCs w:val="21"/>
          <w:lang w:val="en-US" w:eastAsia="zh-CN"/>
        </w:rPr>
        <w:t>L</w:t>
      </w:r>
      <w:r>
        <w:rPr>
          <w:szCs w:val="21"/>
        </w:rPr>
        <w:t xml:space="preserve">内标物（8.4.4 </w:t>
      </w:r>
      <w:r>
        <w:rPr>
          <w:rFonts w:hint="eastAsia"/>
          <w:szCs w:val="21"/>
          <w:lang w:val="en-US" w:eastAsia="zh-CN"/>
        </w:rPr>
        <w:t>.</w:t>
      </w:r>
      <w:r>
        <w:rPr>
          <w:szCs w:val="21"/>
        </w:rPr>
        <w:t>d）（50 μg/m</w:t>
      </w:r>
      <w:r>
        <w:rPr>
          <w:rFonts w:hint="eastAsia"/>
          <w:szCs w:val="21"/>
          <w:lang w:val="en-US" w:eastAsia="zh-CN"/>
        </w:rPr>
        <w:t>L</w:t>
      </w:r>
      <w:r>
        <w:rPr>
          <w:szCs w:val="21"/>
        </w:rPr>
        <w:t>），并用甲苯将提取物稀释至5 m</w:t>
      </w:r>
      <w:r>
        <w:rPr>
          <w:rFonts w:hint="eastAsia"/>
          <w:szCs w:val="21"/>
          <w:lang w:val="en-US" w:eastAsia="zh-CN"/>
        </w:rPr>
        <w:t>L</w:t>
      </w:r>
      <w:r>
        <w:rPr>
          <w:szCs w:val="21"/>
        </w:rPr>
        <w:t>。</w:t>
      </w:r>
    </w:p>
    <w:p>
      <w:pPr>
        <w:ind w:left="851" w:leftChars="200" w:hanging="431"/>
        <w:rPr>
          <w:szCs w:val="21"/>
        </w:rPr>
      </w:pPr>
      <w:r>
        <w:rPr>
          <w:szCs w:val="21"/>
        </w:rPr>
        <w:t>g）</w:t>
      </w:r>
      <w:r>
        <w:rPr>
          <w:rFonts w:hint="eastAsia"/>
          <w:szCs w:val="21"/>
        </w:rPr>
        <w:tab/>
      </w:r>
      <w:r>
        <w:rPr>
          <w:szCs w:val="21"/>
        </w:rPr>
        <w:t>将稀释后的样品转移到带有</w:t>
      </w:r>
      <w:r>
        <w:rPr>
          <w:rFonts w:hint="eastAsia"/>
          <w:szCs w:val="21"/>
          <w:lang w:val="en-US" w:eastAsia="zh-CN"/>
        </w:rPr>
        <w:t>聚四氟乙烯密封盖</w:t>
      </w:r>
      <w:r>
        <w:rPr>
          <w:szCs w:val="21"/>
        </w:rPr>
        <w:t>的2 m</w:t>
      </w:r>
      <w:r>
        <w:rPr>
          <w:rFonts w:hint="eastAsia"/>
          <w:szCs w:val="21"/>
          <w:lang w:val="en-US" w:eastAsia="zh-CN"/>
        </w:rPr>
        <w:t>L</w:t>
      </w:r>
      <w:r>
        <w:rPr>
          <w:szCs w:val="21"/>
        </w:rPr>
        <w:t xml:space="preserve"> GC样品/自动样品瓶中。</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8.2.3 样品净化</w:t>
      </w:r>
    </w:p>
    <w:p>
      <w:pPr>
        <w:rPr>
          <w:szCs w:val="21"/>
        </w:rPr>
      </w:pPr>
      <w:r>
        <w:rPr>
          <w:rFonts w:hint="eastAsia"/>
          <w:szCs w:val="21"/>
          <w:lang w:val="en-US" w:eastAsia="zh-CN"/>
        </w:rPr>
        <w:t xml:space="preserve">    </w:t>
      </w:r>
      <w:r>
        <w:rPr>
          <w:szCs w:val="21"/>
        </w:rPr>
        <w:t>如果干扰</w:t>
      </w:r>
      <w:r>
        <w:rPr>
          <w:rFonts w:hint="eastAsia"/>
          <w:szCs w:val="21"/>
          <w:lang w:val="en-US" w:eastAsia="zh-CN"/>
        </w:rPr>
        <w:t>来自</w:t>
      </w:r>
      <w:r>
        <w:rPr>
          <w:szCs w:val="21"/>
        </w:rPr>
        <w:t>与</w:t>
      </w:r>
      <w:r>
        <w:rPr>
          <w:rFonts w:hint="eastAsia"/>
          <w:szCs w:val="21"/>
          <w:lang w:val="en-US" w:eastAsia="zh-CN"/>
        </w:rPr>
        <w:t>目标</w:t>
      </w:r>
      <w:r>
        <w:rPr>
          <w:szCs w:val="21"/>
        </w:rPr>
        <w:t>分析物具有相同沸程的相</w:t>
      </w:r>
      <w:r>
        <w:rPr>
          <w:rFonts w:hint="eastAsia"/>
          <w:szCs w:val="21"/>
          <w:lang w:val="en-US" w:eastAsia="zh-CN"/>
        </w:rPr>
        <w:t>似</w:t>
      </w:r>
      <w:r>
        <w:rPr>
          <w:szCs w:val="21"/>
        </w:rPr>
        <w:t>极性化合物，则</w:t>
      </w:r>
      <w:r>
        <w:rPr>
          <w:rFonts w:hint="eastAsia"/>
          <w:szCs w:val="21"/>
          <w:lang w:val="en-US" w:eastAsia="zh-CN"/>
        </w:rPr>
        <w:t>宜</w:t>
      </w:r>
      <w:r>
        <w:rPr>
          <w:szCs w:val="21"/>
        </w:rPr>
        <w:t>进行多次净化。</w:t>
      </w:r>
    </w:p>
    <w:p>
      <w:pPr>
        <w:ind w:left="851" w:leftChars="200" w:hanging="431"/>
        <w:rPr>
          <w:szCs w:val="21"/>
        </w:rPr>
      </w:pPr>
      <w:r>
        <w:rPr>
          <w:szCs w:val="21"/>
        </w:rPr>
        <w:t>a）</w:t>
      </w:r>
      <w:r>
        <w:rPr>
          <w:rFonts w:hint="eastAsia"/>
          <w:szCs w:val="21"/>
        </w:rPr>
        <w:tab/>
      </w:r>
      <w:r>
        <w:rPr>
          <w:szCs w:val="21"/>
        </w:rPr>
        <w:t>预先在硅胶（第5 c）条）中加入10</w:t>
      </w:r>
      <w:r>
        <w:rPr>
          <w:rFonts w:hint="eastAsia"/>
          <w:szCs w:val="21"/>
          <w:lang w:val="en-US" w:eastAsia="zh-CN"/>
        </w:rPr>
        <w:t xml:space="preserve"> </w:t>
      </w:r>
      <w:r>
        <w:rPr>
          <w:szCs w:val="21"/>
        </w:rPr>
        <w:t>%水使其失活（将相应体积的水加入玻璃烧瓶内的硅胶中，并将混合物置于旋转蒸发器上，使其在标准压力和室温下均化1</w:t>
      </w:r>
      <w:r>
        <w:rPr>
          <w:rFonts w:hint="eastAsia"/>
          <w:szCs w:val="21"/>
          <w:lang w:val="en-US" w:eastAsia="zh-CN"/>
        </w:rPr>
        <w:t>h</w:t>
      </w:r>
      <w:r>
        <w:rPr>
          <w:szCs w:val="21"/>
        </w:rPr>
        <w:t>。然后将硅胶储存在室温下的密封玻璃烧瓶中）。</w:t>
      </w:r>
    </w:p>
    <w:p>
      <w:pPr>
        <w:ind w:left="851" w:leftChars="200" w:hanging="431"/>
        <w:rPr>
          <w:szCs w:val="21"/>
        </w:rPr>
      </w:pPr>
      <w:r>
        <w:rPr>
          <w:szCs w:val="21"/>
        </w:rPr>
        <w:t>b）</w:t>
      </w:r>
      <w:r>
        <w:rPr>
          <w:rFonts w:hint="eastAsia"/>
          <w:szCs w:val="21"/>
        </w:rPr>
        <w:tab/>
      </w:r>
      <w:r>
        <w:rPr>
          <w:szCs w:val="21"/>
        </w:rPr>
        <w:t>填充柱用10 m</w:t>
      </w:r>
      <w:r>
        <w:rPr>
          <w:rFonts w:hint="eastAsia"/>
          <w:szCs w:val="21"/>
          <w:lang w:val="en-US" w:eastAsia="zh-CN"/>
        </w:rPr>
        <w:t>L</w:t>
      </w:r>
      <w:r>
        <w:rPr>
          <w:szCs w:val="21"/>
        </w:rPr>
        <w:t>石油醚（5</w:t>
      </w:r>
      <w:r>
        <w:rPr>
          <w:rFonts w:hint="eastAsia"/>
          <w:szCs w:val="21"/>
          <w:lang w:val="en-US" w:eastAsia="zh-CN"/>
        </w:rPr>
        <w:t>.</w:t>
      </w:r>
      <w:r>
        <w:rPr>
          <w:szCs w:val="21"/>
        </w:rPr>
        <w:t xml:space="preserve"> g）</w:t>
      </w:r>
      <w:r>
        <w:rPr>
          <w:rFonts w:hint="eastAsia"/>
          <w:szCs w:val="21"/>
          <w:lang w:val="en-US" w:eastAsia="zh-CN"/>
        </w:rPr>
        <w:t>)</w:t>
      </w:r>
      <w:r>
        <w:rPr>
          <w:szCs w:val="21"/>
        </w:rPr>
        <w:t>进行调节。</w:t>
      </w:r>
    </w:p>
    <w:p>
      <w:pPr>
        <w:ind w:left="851" w:leftChars="200" w:hanging="431"/>
        <w:rPr>
          <w:szCs w:val="21"/>
        </w:rPr>
      </w:pPr>
      <w:r>
        <w:rPr>
          <w:szCs w:val="21"/>
        </w:rPr>
        <w:t>c）</w:t>
      </w:r>
      <w:r>
        <w:rPr>
          <w:rFonts w:hint="eastAsia"/>
          <w:szCs w:val="21"/>
        </w:rPr>
        <w:tab/>
      </w:r>
      <w:r>
        <w:rPr>
          <w:szCs w:val="21"/>
        </w:rPr>
        <w:t>然后在旋转蒸发器上将等分的甲苯提取物蒸发至体积约为1 m</w:t>
      </w:r>
      <w:r>
        <w:rPr>
          <w:rFonts w:hint="eastAsia"/>
          <w:szCs w:val="21"/>
          <w:lang w:val="en-US" w:eastAsia="zh-CN"/>
        </w:rPr>
        <w:t>L</w:t>
      </w:r>
      <w:r>
        <w:rPr>
          <w:szCs w:val="21"/>
        </w:rPr>
        <w:t>，然后倒入</w:t>
      </w:r>
      <w:r>
        <w:rPr>
          <w:rFonts w:hint="eastAsia"/>
          <w:szCs w:val="21"/>
          <w:lang w:val="en-US" w:eastAsia="zh-CN"/>
        </w:rPr>
        <w:t>净化</w:t>
      </w:r>
      <w:r>
        <w:rPr>
          <w:szCs w:val="21"/>
        </w:rPr>
        <w:t>柱中。</w:t>
      </w:r>
    </w:p>
    <w:p>
      <w:pPr>
        <w:ind w:left="851" w:leftChars="200" w:hanging="431"/>
        <w:rPr>
          <w:szCs w:val="21"/>
        </w:rPr>
      </w:pPr>
      <w:r>
        <w:rPr>
          <w:szCs w:val="21"/>
        </w:rPr>
        <w:t>d）</w:t>
      </w:r>
      <w:r>
        <w:rPr>
          <w:rFonts w:hint="eastAsia"/>
          <w:szCs w:val="21"/>
        </w:rPr>
        <w:tab/>
      </w:r>
      <w:r>
        <w:rPr>
          <w:szCs w:val="21"/>
        </w:rPr>
        <w:t>用大约20 m</w:t>
      </w:r>
      <w:r>
        <w:rPr>
          <w:rFonts w:hint="eastAsia"/>
          <w:szCs w:val="21"/>
          <w:lang w:val="en-US" w:eastAsia="zh-CN"/>
        </w:rPr>
        <w:t>L</w:t>
      </w:r>
      <w:r>
        <w:rPr>
          <w:szCs w:val="21"/>
        </w:rPr>
        <w:t>洗脱液冲洗尖头烧瓶，然后将其转移到净化柱中。</w:t>
      </w:r>
    </w:p>
    <w:p>
      <w:pPr>
        <w:ind w:left="851" w:leftChars="200" w:hanging="431"/>
        <w:rPr>
          <w:szCs w:val="21"/>
        </w:rPr>
      </w:pPr>
      <w:r>
        <w:rPr>
          <w:szCs w:val="21"/>
        </w:rPr>
        <w:t>e）</w:t>
      </w:r>
      <w:r>
        <w:rPr>
          <w:rFonts w:hint="eastAsia"/>
          <w:szCs w:val="21"/>
        </w:rPr>
        <w:tab/>
      </w:r>
      <w:r>
        <w:rPr>
          <w:szCs w:val="21"/>
        </w:rPr>
        <w:t>用50 m</w:t>
      </w:r>
      <w:r>
        <w:rPr>
          <w:rFonts w:hint="eastAsia"/>
          <w:szCs w:val="21"/>
          <w:lang w:val="en-US" w:eastAsia="zh-CN"/>
        </w:rPr>
        <w:t>L</w:t>
      </w:r>
      <w:r>
        <w:rPr>
          <w:szCs w:val="21"/>
        </w:rPr>
        <w:t>石油醚进行洗脱</w:t>
      </w:r>
      <w:r>
        <w:rPr>
          <w:rFonts w:hint="eastAsia"/>
          <w:szCs w:val="21"/>
          <w:lang w:eastAsia="zh-CN"/>
        </w:rPr>
        <w:t>，</w:t>
      </w:r>
      <w:r>
        <w:rPr>
          <w:rFonts w:hint="eastAsia"/>
          <w:szCs w:val="21"/>
          <w:lang w:val="en-US" w:eastAsia="zh-CN"/>
        </w:rPr>
        <w:t>并收集洗脱液</w:t>
      </w:r>
      <w:r>
        <w:rPr>
          <w:szCs w:val="21"/>
        </w:rPr>
        <w:t>。</w:t>
      </w:r>
    </w:p>
    <w:p>
      <w:pPr>
        <w:ind w:left="851" w:leftChars="200" w:hanging="431"/>
        <w:rPr>
          <w:szCs w:val="21"/>
        </w:rPr>
      </w:pPr>
      <w:r>
        <w:rPr>
          <w:szCs w:val="21"/>
        </w:rPr>
        <w:t>f）</w:t>
      </w:r>
      <w:r>
        <w:rPr>
          <w:rFonts w:hint="eastAsia"/>
          <w:szCs w:val="21"/>
        </w:rPr>
        <w:tab/>
      </w:r>
      <w:r>
        <w:rPr>
          <w:rFonts w:hint="eastAsia"/>
          <w:szCs w:val="21"/>
          <w:lang w:val="en-US" w:eastAsia="zh-CN"/>
        </w:rPr>
        <w:t>向e）中洗脱液中滴加约</w:t>
      </w:r>
      <w:r>
        <w:rPr>
          <w:szCs w:val="21"/>
        </w:rPr>
        <w:t>1 m</w:t>
      </w:r>
      <w:r>
        <w:rPr>
          <w:rFonts w:hint="eastAsia"/>
          <w:szCs w:val="21"/>
          <w:lang w:val="en-US" w:eastAsia="zh-CN"/>
        </w:rPr>
        <w:t>L</w:t>
      </w:r>
      <w:r>
        <w:rPr>
          <w:szCs w:val="21"/>
        </w:rPr>
        <w:t>甲苯</w:t>
      </w:r>
      <w:r>
        <w:rPr>
          <w:rFonts w:hint="eastAsia"/>
          <w:szCs w:val="21"/>
          <w:lang w:val="en-US" w:eastAsia="zh-CN"/>
        </w:rPr>
        <w:t>后，氮吹浓缩</w:t>
      </w:r>
      <w:r>
        <w:rPr>
          <w:szCs w:val="21"/>
        </w:rPr>
        <w:t>至约1 m</w:t>
      </w:r>
      <w:r>
        <w:rPr>
          <w:rFonts w:hint="eastAsia"/>
          <w:szCs w:val="21"/>
          <w:lang w:val="en-US" w:eastAsia="zh-CN"/>
        </w:rPr>
        <w:t>L</w:t>
      </w:r>
      <w:r>
        <w:rPr>
          <w:szCs w:val="21"/>
        </w:rPr>
        <w:t>。</w:t>
      </w:r>
    </w:p>
    <w:p>
      <w:pPr>
        <w:ind w:left="851" w:leftChars="200" w:hanging="431"/>
        <w:rPr>
          <w:szCs w:val="21"/>
        </w:rPr>
      </w:pPr>
      <w:r>
        <w:rPr>
          <w:szCs w:val="21"/>
        </w:rPr>
        <w:t>g）</w:t>
      </w:r>
      <w:r>
        <w:rPr>
          <w:rFonts w:hint="eastAsia"/>
          <w:szCs w:val="21"/>
        </w:rPr>
        <w:tab/>
      </w:r>
      <w:r>
        <w:rPr>
          <w:szCs w:val="21"/>
        </w:rPr>
        <w:t>然后用甲苯将</w:t>
      </w:r>
      <w:r>
        <w:rPr>
          <w:rFonts w:hint="eastAsia"/>
          <w:szCs w:val="21"/>
          <w:lang w:val="en-US" w:eastAsia="zh-CN"/>
        </w:rPr>
        <w:t>f)中浓缩液</w:t>
      </w:r>
      <w:r>
        <w:rPr>
          <w:szCs w:val="21"/>
        </w:rPr>
        <w:t>定容至规定体积，并通过GC-MS分析提取物。</w:t>
      </w:r>
    </w:p>
    <w:p>
      <w:pPr>
        <w:pStyle w:val="47"/>
      </w:pPr>
      <w:r>
        <w:t>8.3 仪器参数</w:t>
      </w:r>
    </w:p>
    <w:p>
      <w:pPr>
        <w:ind w:firstLine="420" w:firstLineChars="200"/>
        <w:rPr>
          <w:szCs w:val="21"/>
        </w:rPr>
      </w:pPr>
      <w:r>
        <w:rPr>
          <w:rFonts w:hint="eastAsia"/>
          <w:szCs w:val="21"/>
        </w:rPr>
        <w:t>为了有效分离所有校准溶液中的同系物, 并满足质量控制(QC)和检出限(LOD) 的要求, 对于某一具体的GC-MS系统, 可能需要采用不同的条件进行优化。以下参数是适宜的例子:</w:t>
      </w:r>
    </w:p>
    <w:p>
      <w:pPr>
        <w:ind w:left="851" w:leftChars="200" w:hanging="431"/>
        <w:rPr>
          <w:szCs w:val="21"/>
        </w:rPr>
      </w:pPr>
      <w:r>
        <w:rPr>
          <w:szCs w:val="21"/>
        </w:rPr>
        <w:t>a）</w:t>
      </w:r>
      <w:r>
        <w:rPr>
          <w:rFonts w:hint="eastAsia"/>
          <w:szCs w:val="21"/>
        </w:rPr>
        <w:tab/>
      </w:r>
      <w:r>
        <w:rPr>
          <w:szCs w:val="21"/>
        </w:rPr>
        <w:t>GC柱：对于PAH</w:t>
      </w:r>
      <w:r>
        <w:rPr>
          <w:rFonts w:hint="eastAsia"/>
          <w:szCs w:val="21"/>
          <w:lang w:val="en-US" w:eastAsia="zh-CN"/>
        </w:rPr>
        <w:t>s</w:t>
      </w:r>
      <w:r>
        <w:rPr>
          <w:szCs w:val="21"/>
        </w:rPr>
        <w:t>化合物，20 m或更长的色谱柱具有足够的分离效率。（参见第A.2条中的合适色谱柱及其分离结果的示例）。针对毛细管柱，建议使用5</w:t>
      </w:r>
      <w:r>
        <w:rPr>
          <w:rFonts w:hint="eastAsia"/>
          <w:szCs w:val="21"/>
          <w:lang w:val="en-US" w:eastAsia="zh-CN"/>
        </w:rPr>
        <w:t xml:space="preserve"> </w:t>
      </w:r>
      <w:r>
        <w:rPr>
          <w:szCs w:val="21"/>
        </w:rPr>
        <w:t>%苯基、95</w:t>
      </w:r>
      <w:r>
        <w:rPr>
          <w:rFonts w:hint="eastAsia"/>
          <w:szCs w:val="21"/>
          <w:lang w:val="en-US" w:eastAsia="zh-CN"/>
        </w:rPr>
        <w:t xml:space="preserve"> </w:t>
      </w:r>
      <w:r>
        <w:rPr>
          <w:szCs w:val="21"/>
        </w:rPr>
        <w:t xml:space="preserve">%甲基聚硅氧烷（例如HT8、DB-EUPAH和ZB-PAH）。首选尺寸为长度20 m，内径0.25 mm或0.18 mm，膜厚0.25 </w:t>
      </w:r>
      <w:r>
        <w:rPr>
          <w:rFonts w:hint="default" w:ascii="Times New Roman" w:hAnsi="Times New Roman" w:cs="Times New Roman"/>
          <w:szCs w:val="21"/>
        </w:rPr>
        <w:t>μ</w:t>
      </w:r>
      <w:r>
        <w:rPr>
          <w:szCs w:val="21"/>
        </w:rPr>
        <w:t xml:space="preserve">m或0.14 </w:t>
      </w:r>
      <w:r>
        <w:rPr>
          <w:rFonts w:hint="default" w:ascii="Times New Roman" w:hAnsi="Times New Roman" w:cs="Times New Roman"/>
          <w:szCs w:val="21"/>
        </w:rPr>
        <w:t>μ</w:t>
      </w:r>
      <w:r>
        <w:rPr>
          <w:szCs w:val="21"/>
        </w:rPr>
        <w:t>m。</w:t>
      </w:r>
    </w:p>
    <w:p>
      <w:pPr>
        <w:ind w:left="851" w:leftChars="200" w:hanging="431"/>
        <w:rPr>
          <w:szCs w:val="21"/>
        </w:rPr>
      </w:pPr>
      <w:r>
        <w:rPr>
          <w:szCs w:val="21"/>
        </w:rPr>
        <w:t>b）</w:t>
      </w:r>
      <w:r>
        <w:rPr>
          <w:rFonts w:hint="eastAsia"/>
          <w:szCs w:val="21"/>
        </w:rPr>
        <w:tab/>
      </w:r>
      <w:r>
        <w:rPr>
          <w:szCs w:val="21"/>
        </w:rPr>
        <w:t>载</w:t>
      </w:r>
      <w:r>
        <w:rPr>
          <w:rFonts w:hint="eastAsia"/>
          <w:szCs w:val="21"/>
          <w:lang w:val="en-US" w:eastAsia="zh-CN"/>
        </w:rPr>
        <w:t>气</w:t>
      </w:r>
      <w:r>
        <w:rPr>
          <w:szCs w:val="21"/>
        </w:rPr>
        <w:t xml:space="preserve">：氦气（5 </w:t>
      </w:r>
      <w:r>
        <w:rPr>
          <w:rFonts w:hint="eastAsia"/>
          <w:szCs w:val="21"/>
          <w:lang w:val="en-US" w:eastAsia="zh-CN"/>
        </w:rPr>
        <w:t>.</w:t>
      </w:r>
      <w:r>
        <w:rPr>
          <w:szCs w:val="21"/>
        </w:rPr>
        <w:t>b）），1.0 m</w:t>
      </w:r>
      <w:r>
        <w:rPr>
          <w:rFonts w:hint="eastAsia"/>
          <w:szCs w:val="21"/>
          <w:lang w:val="en-US" w:eastAsia="zh-CN"/>
        </w:rPr>
        <w:t>L</w:t>
      </w:r>
      <w:r>
        <w:rPr>
          <w:szCs w:val="21"/>
        </w:rPr>
        <w:t>/min，恒流。</w:t>
      </w:r>
    </w:p>
    <w:p>
      <w:pPr>
        <w:ind w:left="851" w:leftChars="200" w:hanging="431"/>
        <w:rPr>
          <w:szCs w:val="21"/>
        </w:rPr>
      </w:pPr>
      <w:r>
        <w:rPr>
          <w:szCs w:val="21"/>
        </w:rPr>
        <w:t>c）</w:t>
      </w:r>
      <w:r>
        <w:rPr>
          <w:rFonts w:hint="eastAsia"/>
          <w:szCs w:val="21"/>
        </w:rPr>
        <w:tab/>
      </w:r>
      <w:r>
        <w:rPr>
          <w:rFonts w:hint="eastAsia"/>
          <w:szCs w:val="21"/>
          <w:lang w:val="en-US" w:eastAsia="zh-CN"/>
        </w:rPr>
        <w:t>柱温</w:t>
      </w:r>
      <w:r>
        <w:rPr>
          <w:szCs w:val="21"/>
        </w:rPr>
        <w:t>箱：50 °C（初始温度），300 °C（最终温度），以10 °C/min升温至300 °C。</w:t>
      </w:r>
    </w:p>
    <w:p>
      <w:pPr>
        <w:ind w:left="851" w:leftChars="200" w:hanging="431"/>
        <w:rPr>
          <w:szCs w:val="21"/>
        </w:rPr>
      </w:pPr>
      <w:r>
        <w:rPr>
          <w:szCs w:val="21"/>
        </w:rPr>
        <w:t>d）</w:t>
      </w:r>
      <w:r>
        <w:rPr>
          <w:rFonts w:hint="eastAsia"/>
          <w:szCs w:val="21"/>
        </w:rPr>
        <w:tab/>
      </w:r>
      <w:r>
        <w:rPr>
          <w:szCs w:val="21"/>
        </w:rPr>
        <w:t>进样</w:t>
      </w:r>
      <w:r>
        <w:rPr>
          <w:rFonts w:hint="eastAsia"/>
          <w:szCs w:val="21"/>
          <w:lang w:val="en-US" w:eastAsia="zh-CN"/>
        </w:rPr>
        <w:t>口</w:t>
      </w:r>
      <w:r>
        <w:rPr>
          <w:szCs w:val="21"/>
        </w:rPr>
        <w:t>温度：280°C。</w:t>
      </w:r>
    </w:p>
    <w:p>
      <w:pPr>
        <w:ind w:left="851" w:leftChars="200" w:hanging="431"/>
        <w:rPr>
          <w:szCs w:val="21"/>
        </w:rPr>
      </w:pPr>
      <w:r>
        <w:rPr>
          <w:szCs w:val="21"/>
        </w:rPr>
        <w:t>e）</w:t>
      </w:r>
      <w:r>
        <w:rPr>
          <w:rFonts w:hint="eastAsia"/>
          <w:szCs w:val="21"/>
        </w:rPr>
        <w:tab/>
      </w:r>
      <w:r>
        <w:rPr>
          <w:szCs w:val="21"/>
        </w:rPr>
        <w:t>进样量：1 μ</w:t>
      </w:r>
      <w:r>
        <w:rPr>
          <w:rFonts w:hint="eastAsia"/>
          <w:szCs w:val="21"/>
          <w:lang w:val="en-US" w:eastAsia="zh-CN"/>
        </w:rPr>
        <w:t>L</w:t>
      </w:r>
      <w:r>
        <w:rPr>
          <w:szCs w:val="21"/>
        </w:rPr>
        <w:t>。</w:t>
      </w:r>
    </w:p>
    <w:p>
      <w:pPr>
        <w:ind w:firstLine="420" w:firstLineChars="200"/>
        <w:rPr>
          <w:szCs w:val="21"/>
        </w:rPr>
      </w:pPr>
      <w:r>
        <w:rPr>
          <w:szCs w:val="21"/>
        </w:rPr>
        <w:t>建议使用总离子流（“全扫描”）MS方法对每个样品进行全扫描，以检查是否存在校准或SIM窗口中未发现的谱峰/同系物（初步鉴定化合物或“TICS”）。如果存在，通过评估总离子</w:t>
      </w:r>
      <w:r>
        <w:rPr>
          <w:rFonts w:hint="eastAsia"/>
          <w:szCs w:val="21"/>
          <w:lang w:val="en-US" w:eastAsia="zh-CN"/>
        </w:rPr>
        <w:t>流色谱图</w:t>
      </w:r>
      <w:r>
        <w:rPr>
          <w:szCs w:val="21"/>
        </w:rPr>
        <w:t>确定谱峰并确定化合物的类别（例如苯并[e]芘、苯并[a]芘）。</w:t>
      </w:r>
    </w:p>
    <w:p>
      <w:pPr>
        <w:ind w:firstLine="420" w:firstLineChars="200"/>
        <w:rPr>
          <w:szCs w:val="21"/>
        </w:rPr>
      </w:pPr>
      <w:r>
        <w:rPr>
          <w:szCs w:val="21"/>
        </w:rPr>
        <w:t>表1列出了与多环芳烃定量的参考质量相关的GC-MS参数。表A.1中描述了其他详细的GC-MS仪器参数。</w:t>
      </w:r>
    </w:p>
    <w:p>
      <w:pPr>
        <w:spacing w:before="156" w:beforeLines="50" w:after="156" w:afterLines="50"/>
        <w:jc w:val="center"/>
        <w:rPr>
          <w:b/>
          <w:bCs/>
          <w:szCs w:val="21"/>
        </w:rPr>
      </w:pPr>
      <w:r>
        <w:rPr>
          <w:b/>
          <w:bCs/>
          <w:szCs w:val="21"/>
        </w:rPr>
        <w:t>表1</w:t>
      </w:r>
      <w:r>
        <w:rPr>
          <w:rFonts w:hint="eastAsia"/>
          <w:b/>
          <w:bCs/>
          <w:szCs w:val="21"/>
          <w:lang w:val="en-US" w:eastAsia="zh-CN"/>
        </w:rPr>
        <w:t xml:space="preserve"> </w:t>
      </w:r>
      <w:r>
        <w:rPr>
          <w:b/>
          <w:bCs/>
          <w:szCs w:val="21"/>
        </w:rPr>
        <w:t>PAH</w:t>
      </w:r>
      <w:r>
        <w:rPr>
          <w:rFonts w:hint="eastAsia"/>
          <w:b/>
          <w:bCs/>
          <w:szCs w:val="21"/>
          <w:lang w:val="en-US" w:eastAsia="zh-CN"/>
        </w:rPr>
        <w:t>s</w:t>
      </w:r>
      <w:r>
        <w:rPr>
          <w:b/>
          <w:bCs/>
          <w:szCs w:val="21"/>
        </w:rPr>
        <w:t>定量参考质量</w:t>
      </w:r>
      <w:r>
        <w:rPr>
          <w:rFonts w:hint="eastAsia"/>
          <w:b/>
          <w:bCs/>
          <w:szCs w:val="21"/>
          <w:lang w:val="en-US" w:eastAsia="zh-CN"/>
        </w:rPr>
        <w:t>数</w:t>
      </w:r>
    </w:p>
    <w:tbl>
      <w:tblPr>
        <w:tblStyle w:val="44"/>
        <w:tblW w:w="9468" w:type="dxa"/>
        <w:tblInd w:w="0" w:type="dxa"/>
        <w:tblLayout w:type="fixed"/>
        <w:tblCellMar>
          <w:top w:w="0" w:type="dxa"/>
          <w:left w:w="57" w:type="dxa"/>
          <w:bottom w:w="0" w:type="dxa"/>
          <w:right w:w="57" w:type="dxa"/>
        </w:tblCellMar>
      </w:tblPr>
      <w:tblGrid>
        <w:gridCol w:w="2168"/>
        <w:gridCol w:w="2335"/>
        <w:gridCol w:w="2330"/>
        <w:gridCol w:w="2635"/>
      </w:tblGrid>
      <w:tr>
        <w:tblPrEx>
          <w:tblLayout w:type="fixed"/>
          <w:tblCellMar>
            <w:top w:w="0" w:type="dxa"/>
            <w:left w:w="57" w:type="dxa"/>
            <w:bottom w:w="0" w:type="dxa"/>
            <w:right w:w="57" w:type="dxa"/>
          </w:tblCellMar>
        </w:tblPrEx>
        <w:tc>
          <w:tcPr>
            <w:tcW w:w="2168" w:type="dxa"/>
            <w:vMerge w:val="restart"/>
            <w:tcBorders>
              <w:top w:val="single" w:color="auto" w:sz="4" w:space="0"/>
              <w:left w:val="single" w:color="auto" w:sz="4" w:space="0"/>
            </w:tcBorders>
            <w:shd w:val="clear" w:color="auto" w:fill="FFFFFF"/>
            <w:vAlign w:val="center"/>
          </w:tcPr>
          <w:p>
            <w:pPr>
              <w:jc w:val="center"/>
              <w:rPr>
                <w:szCs w:val="21"/>
              </w:rPr>
            </w:pPr>
            <w:r>
              <w:rPr>
                <w:szCs w:val="21"/>
              </w:rPr>
              <w:t>PAH类型</w:t>
            </w:r>
          </w:p>
        </w:tc>
        <w:tc>
          <w:tcPr>
            <w:tcW w:w="7300" w:type="dxa"/>
            <w:gridSpan w:val="3"/>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提取物中的</w:t>
            </w:r>
            <w:r>
              <w:rPr>
                <w:rFonts w:hint="eastAsia"/>
                <w:szCs w:val="21"/>
                <w:lang w:val="en-US" w:eastAsia="zh-CN"/>
              </w:rPr>
              <w:t>监</w:t>
            </w:r>
            <w:r>
              <w:rPr>
                <w:szCs w:val="21"/>
              </w:rPr>
              <w:t>测离子（m/z）</w:t>
            </w:r>
          </w:p>
        </w:tc>
      </w:tr>
      <w:tr>
        <w:tblPrEx>
          <w:tblLayout w:type="fixed"/>
          <w:tblCellMar>
            <w:top w:w="0" w:type="dxa"/>
            <w:left w:w="57" w:type="dxa"/>
            <w:bottom w:w="0" w:type="dxa"/>
            <w:right w:w="57" w:type="dxa"/>
          </w:tblCellMar>
        </w:tblPrEx>
        <w:tc>
          <w:tcPr>
            <w:tcW w:w="2168" w:type="dxa"/>
            <w:vMerge w:val="continue"/>
            <w:tcBorders>
              <w:left w:val="single" w:color="auto" w:sz="4" w:space="0"/>
            </w:tcBorders>
            <w:shd w:val="clear" w:color="auto" w:fill="FFFFFF"/>
            <w:vAlign w:val="center"/>
          </w:tcPr>
          <w:p>
            <w:pPr>
              <w:jc w:val="center"/>
              <w:rPr>
                <w:szCs w:val="21"/>
              </w:rPr>
            </w:pPr>
          </w:p>
        </w:tc>
        <w:tc>
          <w:tcPr>
            <w:tcW w:w="2335" w:type="dxa"/>
            <w:tcBorders>
              <w:top w:val="single" w:color="auto" w:sz="4" w:space="0"/>
              <w:left w:val="single" w:color="auto" w:sz="4" w:space="0"/>
            </w:tcBorders>
            <w:shd w:val="clear" w:color="auto" w:fill="FFFFFF"/>
            <w:vAlign w:val="center"/>
          </w:tcPr>
          <w:p>
            <w:pPr>
              <w:jc w:val="center"/>
              <w:rPr>
                <w:szCs w:val="21"/>
              </w:rPr>
            </w:pPr>
            <w:r>
              <w:rPr>
                <w:rFonts w:hint="eastAsia"/>
                <w:szCs w:val="21"/>
                <w:lang w:val="en-US" w:eastAsia="zh-CN"/>
              </w:rPr>
              <w:t>定量</w:t>
            </w:r>
            <w:r>
              <w:rPr>
                <w:szCs w:val="21"/>
              </w:rPr>
              <w:t>离子（m/z）</w:t>
            </w:r>
          </w:p>
        </w:tc>
        <w:tc>
          <w:tcPr>
            <w:tcW w:w="4965" w:type="dxa"/>
            <w:gridSpan w:val="2"/>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定性离子（m/z）</w:t>
            </w:r>
          </w:p>
        </w:tc>
      </w:tr>
      <w:tr>
        <w:tblPrEx>
          <w:tblLayout w:type="fixed"/>
          <w:tblCellMar>
            <w:top w:w="0" w:type="dxa"/>
            <w:left w:w="57" w:type="dxa"/>
            <w:bottom w:w="0" w:type="dxa"/>
            <w:right w:w="57" w:type="dxa"/>
          </w:tblCellMar>
        </w:tblPrEx>
        <w:tc>
          <w:tcPr>
            <w:tcW w:w="9468" w:type="dxa"/>
            <w:gridSpan w:val="4"/>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内标物</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萘-d8</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136</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108</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137</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蒽-d10</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188</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178</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187</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苯并[a]芘-d12</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264</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260</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265</w:t>
            </w:r>
          </w:p>
        </w:tc>
      </w:tr>
      <w:tr>
        <w:tblPrEx>
          <w:tblLayout w:type="fixed"/>
          <w:tblCellMar>
            <w:top w:w="0" w:type="dxa"/>
            <w:left w:w="57" w:type="dxa"/>
            <w:bottom w:w="0" w:type="dxa"/>
            <w:right w:w="57" w:type="dxa"/>
          </w:tblCellMar>
        </w:tblPrEx>
        <w:tc>
          <w:tcPr>
            <w:tcW w:w="9468" w:type="dxa"/>
            <w:gridSpan w:val="4"/>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物质</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萘</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128</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102</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129</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苊烯</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152</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76</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151</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苊</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154</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76</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153</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芴</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166</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83</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165</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菲</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178</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76</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179</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蒽</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178</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89</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176</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荧蒽</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202</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101</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200</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芘</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202</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101</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200</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苯并[a]蒽</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228</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114</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226</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rFonts w:hint="eastAsia" w:eastAsia="宋体"/>
                <w:szCs w:val="21"/>
                <w:lang w:eastAsia="zh-CN"/>
              </w:rPr>
            </w:pPr>
            <w:r>
              <w:rPr>
                <w:rFonts w:hint="eastAsia"/>
                <w:szCs w:val="21"/>
                <w:lang w:eastAsia="zh-CN"/>
              </w:rPr>
              <w:t>䓛</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228</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114</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226</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苯并[b]荧蒽</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252</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126</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253</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苯并[j]荧蒽</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252</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126</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253</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苯并[k]荧蒽</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252</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126</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253</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苯并[e]芘</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252</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126</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253</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苯并[a]芘</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252</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126</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253</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茚并[1</w:t>
            </w:r>
            <w:r>
              <w:rPr>
                <w:rFonts w:hint="eastAsia"/>
                <w:szCs w:val="21"/>
                <w:lang w:eastAsia="zh-CN"/>
              </w:rPr>
              <w:t>，</w:t>
            </w:r>
            <w:r>
              <w:rPr>
                <w:szCs w:val="21"/>
              </w:rPr>
              <w:t>2</w:t>
            </w:r>
            <w:r>
              <w:rPr>
                <w:rFonts w:hint="eastAsia"/>
                <w:szCs w:val="21"/>
                <w:lang w:eastAsia="zh-CN"/>
              </w:rPr>
              <w:t>，</w:t>
            </w:r>
            <w:r>
              <w:rPr>
                <w:szCs w:val="21"/>
              </w:rPr>
              <w:t>3cd]芘</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276</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138</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274</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tcBorders>
            <w:shd w:val="clear" w:color="auto" w:fill="FFFFFF"/>
            <w:vAlign w:val="center"/>
          </w:tcPr>
          <w:p>
            <w:pPr>
              <w:rPr>
                <w:szCs w:val="21"/>
              </w:rPr>
            </w:pPr>
            <w:r>
              <w:rPr>
                <w:szCs w:val="21"/>
              </w:rPr>
              <w:t>二苯并[a</w:t>
            </w:r>
            <w:r>
              <w:rPr>
                <w:rFonts w:hint="eastAsia"/>
                <w:szCs w:val="21"/>
                <w:lang w:eastAsia="zh-CN"/>
              </w:rPr>
              <w:t>，</w:t>
            </w:r>
            <w:r>
              <w:rPr>
                <w:szCs w:val="21"/>
              </w:rPr>
              <w:t>h]蒽</w:t>
            </w:r>
          </w:p>
        </w:tc>
        <w:tc>
          <w:tcPr>
            <w:tcW w:w="2335" w:type="dxa"/>
            <w:tcBorders>
              <w:top w:val="single" w:color="auto" w:sz="4" w:space="0"/>
              <w:left w:val="single" w:color="auto" w:sz="4" w:space="0"/>
            </w:tcBorders>
            <w:shd w:val="clear" w:color="auto" w:fill="FFFFFF"/>
            <w:vAlign w:val="center"/>
          </w:tcPr>
          <w:p>
            <w:pPr>
              <w:jc w:val="center"/>
              <w:rPr>
                <w:szCs w:val="21"/>
              </w:rPr>
            </w:pPr>
            <w:r>
              <w:rPr>
                <w:szCs w:val="21"/>
              </w:rPr>
              <w:t>278</w:t>
            </w:r>
          </w:p>
        </w:tc>
        <w:tc>
          <w:tcPr>
            <w:tcW w:w="2330" w:type="dxa"/>
            <w:tcBorders>
              <w:top w:val="single" w:color="auto" w:sz="4" w:space="0"/>
              <w:left w:val="single" w:color="auto" w:sz="4" w:space="0"/>
            </w:tcBorders>
            <w:shd w:val="clear" w:color="auto" w:fill="FFFFFF"/>
            <w:vAlign w:val="center"/>
          </w:tcPr>
          <w:p>
            <w:pPr>
              <w:jc w:val="center"/>
              <w:rPr>
                <w:szCs w:val="21"/>
              </w:rPr>
            </w:pPr>
            <w:r>
              <w:rPr>
                <w:szCs w:val="21"/>
              </w:rPr>
              <w:t>139</w:t>
            </w:r>
          </w:p>
        </w:tc>
        <w:tc>
          <w:tcPr>
            <w:tcW w:w="263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276</w:t>
            </w:r>
          </w:p>
        </w:tc>
      </w:tr>
      <w:tr>
        <w:tblPrEx>
          <w:tblLayout w:type="fixed"/>
          <w:tblCellMar>
            <w:top w:w="0" w:type="dxa"/>
            <w:left w:w="57" w:type="dxa"/>
            <w:bottom w:w="0" w:type="dxa"/>
            <w:right w:w="57" w:type="dxa"/>
          </w:tblCellMar>
        </w:tblPrEx>
        <w:tc>
          <w:tcPr>
            <w:tcW w:w="2168" w:type="dxa"/>
            <w:tcBorders>
              <w:top w:val="single" w:color="auto" w:sz="4" w:space="0"/>
              <w:left w:val="single" w:color="auto" w:sz="4" w:space="0"/>
              <w:bottom w:val="single" w:color="auto" w:sz="4" w:space="0"/>
            </w:tcBorders>
            <w:shd w:val="clear" w:color="auto" w:fill="FFFFFF"/>
            <w:vAlign w:val="center"/>
          </w:tcPr>
          <w:p>
            <w:pPr>
              <w:rPr>
                <w:szCs w:val="21"/>
              </w:rPr>
            </w:pPr>
            <w:r>
              <w:rPr>
                <w:szCs w:val="21"/>
              </w:rPr>
              <w:t>苯并[ghi]苝</w:t>
            </w:r>
          </w:p>
        </w:tc>
        <w:tc>
          <w:tcPr>
            <w:tcW w:w="2335"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276</w:t>
            </w:r>
          </w:p>
        </w:tc>
        <w:tc>
          <w:tcPr>
            <w:tcW w:w="2330"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138</w:t>
            </w:r>
          </w:p>
        </w:tc>
        <w:tc>
          <w:tcPr>
            <w:tcW w:w="26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szCs w:val="21"/>
              </w:rPr>
            </w:pPr>
            <w:r>
              <w:rPr>
                <w:szCs w:val="21"/>
              </w:rPr>
              <w:t>274</w:t>
            </w:r>
          </w:p>
        </w:tc>
      </w:tr>
    </w:tbl>
    <w:p>
      <w:pPr>
        <w:pStyle w:val="47"/>
      </w:pPr>
      <w:r>
        <w:t>8.4 校准品</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8.4.1 总述</w:t>
      </w:r>
    </w:p>
    <w:p>
      <w:pPr>
        <w:ind w:firstLine="420" w:firstLineChars="200"/>
        <w:rPr>
          <w:szCs w:val="21"/>
        </w:rPr>
      </w:pPr>
      <w:r>
        <w:rPr>
          <w:szCs w:val="21"/>
        </w:rPr>
        <w:t>校准应涵盖从萘到苯并(g</w:t>
      </w:r>
      <w:r>
        <w:rPr>
          <w:rFonts w:hint="eastAsia"/>
          <w:szCs w:val="21"/>
          <w:lang w:eastAsia="zh-CN"/>
        </w:rPr>
        <w:t>，</w:t>
      </w:r>
      <w:r>
        <w:rPr>
          <w:szCs w:val="21"/>
        </w:rPr>
        <w:t>h</w:t>
      </w:r>
      <w:r>
        <w:rPr>
          <w:rFonts w:hint="eastAsia"/>
          <w:szCs w:val="21"/>
          <w:lang w:eastAsia="zh-CN"/>
        </w:rPr>
        <w:t>，</w:t>
      </w:r>
      <w:r>
        <w:rPr>
          <w:szCs w:val="21"/>
        </w:rPr>
        <w:t>i)苝的所有</w:t>
      </w:r>
      <w:r>
        <w:rPr>
          <w:rFonts w:hint="eastAsia"/>
          <w:szCs w:val="21"/>
          <w:lang w:eastAsia="zh-CN"/>
        </w:rPr>
        <w:t>PAHs</w:t>
      </w:r>
      <w:r>
        <w:rPr>
          <w:szCs w:val="21"/>
        </w:rPr>
        <w:t>物质。特定PAH（例如苯并(a)芘）的标准溶液的可用性可能因地区而异。下表2列出来适用于该分析的典型可用校准化学品的示例。</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8.4.2 储备溶液</w:t>
      </w:r>
    </w:p>
    <w:p>
      <w:pPr>
        <w:ind w:firstLine="420" w:firstLineChars="200"/>
        <w:rPr>
          <w:szCs w:val="21"/>
        </w:rPr>
      </w:pPr>
      <w:r>
        <w:rPr>
          <w:szCs w:val="21"/>
        </w:rPr>
        <w:t>应制备以下储备溶液：</w:t>
      </w:r>
    </w:p>
    <w:p>
      <w:pPr>
        <w:ind w:left="851" w:leftChars="200" w:hanging="431"/>
        <w:rPr>
          <w:szCs w:val="21"/>
        </w:rPr>
      </w:pPr>
      <w:r>
        <w:rPr>
          <w:szCs w:val="21"/>
        </w:rPr>
        <w:t>a）</w:t>
      </w:r>
      <w:r>
        <w:rPr>
          <w:rFonts w:hint="eastAsia"/>
          <w:szCs w:val="21"/>
        </w:rPr>
        <w:tab/>
      </w:r>
      <w:r>
        <w:rPr>
          <w:szCs w:val="21"/>
        </w:rPr>
        <w:t>内标物（用于校正进样误差）：50 μg/m</w:t>
      </w:r>
      <w:r>
        <w:rPr>
          <w:rFonts w:hint="eastAsia"/>
          <w:szCs w:val="21"/>
          <w:lang w:val="en-US" w:eastAsia="zh-CN"/>
        </w:rPr>
        <w:t>L</w:t>
      </w:r>
      <w:r>
        <w:rPr>
          <w:szCs w:val="21"/>
        </w:rPr>
        <w:t>、100 μg/m</w:t>
      </w:r>
      <w:r>
        <w:rPr>
          <w:rFonts w:hint="eastAsia"/>
          <w:szCs w:val="21"/>
          <w:lang w:val="en-US" w:eastAsia="zh-CN"/>
        </w:rPr>
        <w:t>L于</w:t>
      </w:r>
      <w:r>
        <w:rPr>
          <w:szCs w:val="21"/>
        </w:rPr>
        <w:t>甲苯中（例如萘-d8、蒽-d10和苯并[a]芘-d12）。</w:t>
      </w:r>
    </w:p>
    <w:p>
      <w:pPr>
        <w:ind w:left="851" w:leftChars="200" w:hanging="431"/>
        <w:rPr>
          <w:szCs w:val="21"/>
        </w:rPr>
      </w:pPr>
      <w:r>
        <w:rPr>
          <w:szCs w:val="21"/>
        </w:rPr>
        <w:t>b）</w:t>
      </w:r>
      <w:r>
        <w:rPr>
          <w:rFonts w:hint="eastAsia"/>
          <w:szCs w:val="21"/>
        </w:rPr>
        <w:tab/>
      </w:r>
      <w:r>
        <w:rPr>
          <w:rFonts w:hint="eastAsia"/>
          <w:szCs w:val="21"/>
          <w:lang w:eastAsia="zh-CN"/>
        </w:rPr>
        <w:t>标记物</w:t>
      </w:r>
      <w:r>
        <w:rPr>
          <w:szCs w:val="21"/>
        </w:rPr>
        <w:t>（用于监测分析物回收率）：50 μg/m</w:t>
      </w:r>
      <w:r>
        <w:rPr>
          <w:rFonts w:hint="eastAsia"/>
          <w:szCs w:val="21"/>
          <w:lang w:val="en-US" w:eastAsia="zh-CN"/>
        </w:rPr>
        <w:t>L</w:t>
      </w:r>
      <w:r>
        <w:rPr>
          <w:szCs w:val="21"/>
        </w:rPr>
        <w:t>、100 μg/m</w:t>
      </w:r>
      <w:r>
        <w:rPr>
          <w:rFonts w:hint="eastAsia"/>
          <w:szCs w:val="21"/>
          <w:lang w:val="en-US" w:eastAsia="zh-CN"/>
        </w:rPr>
        <w:t>L</w:t>
      </w:r>
      <w:r>
        <w:rPr>
          <w:rFonts w:hint="eastAsia"/>
          <w:szCs w:val="21"/>
        </w:rPr>
        <w:t>于甲苯中</w:t>
      </w:r>
      <w:r>
        <w:rPr>
          <w:szCs w:val="21"/>
        </w:rPr>
        <w:t>（例如</w:t>
      </w:r>
      <w:r>
        <w:rPr>
          <w:rFonts w:hint="eastAsia"/>
          <w:szCs w:val="21"/>
          <w:lang w:eastAsia="zh-CN"/>
        </w:rPr>
        <w:t>䓛</w:t>
      </w:r>
      <w:r>
        <w:rPr>
          <w:szCs w:val="21"/>
        </w:rPr>
        <w:t>-d12）。</w:t>
      </w:r>
    </w:p>
    <w:p>
      <w:pPr>
        <w:ind w:left="851" w:leftChars="200" w:hanging="431"/>
        <w:rPr>
          <w:szCs w:val="21"/>
        </w:rPr>
      </w:pPr>
      <w:r>
        <w:rPr>
          <w:szCs w:val="21"/>
        </w:rPr>
        <w:t>c）</w:t>
      </w:r>
      <w:r>
        <w:rPr>
          <w:rFonts w:hint="eastAsia"/>
          <w:szCs w:val="21"/>
        </w:rPr>
        <w:tab/>
      </w:r>
      <w:r>
        <w:rPr>
          <w:szCs w:val="21"/>
        </w:rPr>
        <w:t>PAH</w:t>
      </w:r>
      <w:r>
        <w:rPr>
          <w:rFonts w:hint="eastAsia"/>
          <w:szCs w:val="21"/>
          <w:lang w:val="en-US" w:eastAsia="zh-CN"/>
        </w:rPr>
        <w:t>s标准</w:t>
      </w:r>
      <w:r>
        <w:rPr>
          <w:szCs w:val="21"/>
        </w:rPr>
        <w:t>溶液</w:t>
      </w:r>
      <w:r>
        <w:rPr>
          <w:rFonts w:hint="eastAsia"/>
          <w:szCs w:val="21"/>
          <w:lang w:val="en-US" w:eastAsia="zh-CN"/>
        </w:rPr>
        <w:t>，</w:t>
      </w:r>
      <w:r>
        <w:rPr>
          <w:szCs w:val="21"/>
        </w:rPr>
        <w:t>可以</w:t>
      </w:r>
      <w:r>
        <w:rPr>
          <w:rFonts w:hint="eastAsia"/>
          <w:szCs w:val="21"/>
          <w:lang w:val="en-US" w:eastAsia="zh-CN"/>
        </w:rPr>
        <w:t>配制</w:t>
      </w:r>
      <w:r>
        <w:rPr>
          <w:szCs w:val="21"/>
        </w:rPr>
        <w:t>8.5.2中给出的标准溶液浓度。</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 xml:space="preserve">8.4.3 </w:t>
      </w:r>
      <w:r>
        <w:rPr>
          <w:rFonts w:hint="eastAsia" w:ascii="黑体" w:hAnsi="黑体" w:eastAsia="黑体"/>
          <w:kern w:val="0"/>
          <w:szCs w:val="21"/>
          <w:lang w:val="en-US" w:eastAsia="zh-CN"/>
        </w:rPr>
        <w:t>标准</w:t>
      </w:r>
      <w:r>
        <w:rPr>
          <w:rFonts w:ascii="黑体" w:hAnsi="黑体" w:eastAsia="黑体"/>
          <w:kern w:val="0"/>
          <w:szCs w:val="21"/>
        </w:rPr>
        <w:t>溶液的制备</w:t>
      </w:r>
    </w:p>
    <w:p>
      <w:pPr>
        <w:spacing w:before="156" w:beforeLines="50" w:after="156" w:afterLines="50"/>
        <w:jc w:val="center"/>
        <w:rPr>
          <w:rFonts w:hint="eastAsia" w:eastAsia="宋体"/>
          <w:b/>
          <w:bCs/>
          <w:szCs w:val="21"/>
          <w:lang w:val="en-US" w:eastAsia="zh-CN"/>
        </w:rPr>
      </w:pPr>
      <w:r>
        <w:rPr>
          <w:b/>
          <w:bCs/>
          <w:szCs w:val="21"/>
        </w:rPr>
        <w:t>表2</w:t>
      </w:r>
      <w:r>
        <w:rPr>
          <w:rFonts w:hint="eastAsia"/>
          <w:b/>
          <w:bCs/>
          <w:szCs w:val="21"/>
          <w:lang w:val="en-US" w:eastAsia="zh-CN"/>
        </w:rPr>
        <w:t xml:space="preserve"> </w:t>
      </w:r>
      <w:r>
        <w:rPr>
          <w:b/>
          <w:bCs/>
          <w:szCs w:val="21"/>
        </w:rPr>
        <w:t>适用于该分析的</w:t>
      </w:r>
      <w:r>
        <w:rPr>
          <w:rFonts w:hint="eastAsia"/>
          <w:b/>
          <w:bCs/>
          <w:szCs w:val="21"/>
          <w:lang w:val="en-US" w:eastAsia="zh-CN"/>
        </w:rPr>
        <w:t>市售标准物质</w:t>
      </w:r>
      <w:r>
        <w:rPr>
          <w:b/>
          <w:bCs/>
          <w:szCs w:val="21"/>
        </w:rPr>
        <w:t>示例</w:t>
      </w:r>
      <w:r>
        <w:rPr>
          <w:rFonts w:hint="eastAsia"/>
          <w:b/>
          <w:bCs/>
          <w:szCs w:val="21"/>
          <w:lang w:val="en-US" w:eastAsia="zh-CN"/>
        </w:rPr>
        <w:t>列表</w:t>
      </w:r>
    </w:p>
    <w:tbl>
      <w:tblPr>
        <w:tblStyle w:val="44"/>
        <w:tblW w:w="9468" w:type="dxa"/>
        <w:tblInd w:w="0" w:type="dxa"/>
        <w:tblLayout w:type="fixed"/>
        <w:tblCellMar>
          <w:top w:w="0" w:type="dxa"/>
          <w:left w:w="57" w:type="dxa"/>
          <w:bottom w:w="0" w:type="dxa"/>
          <w:right w:w="57" w:type="dxa"/>
        </w:tblCellMar>
      </w:tblPr>
      <w:tblGrid>
        <w:gridCol w:w="1856"/>
        <w:gridCol w:w="2537"/>
        <w:gridCol w:w="1665"/>
        <w:gridCol w:w="1680"/>
        <w:gridCol w:w="1730"/>
      </w:tblGrid>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缩略语</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化合物名称</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CAS编号</w:t>
            </w:r>
          </w:p>
        </w:tc>
        <w:tc>
          <w:tcPr>
            <w:tcW w:w="1680" w:type="dxa"/>
            <w:tcBorders>
              <w:top w:val="single" w:color="auto" w:sz="4" w:space="0"/>
              <w:left w:val="single" w:color="auto" w:sz="4" w:space="0"/>
            </w:tcBorders>
            <w:shd w:val="clear" w:color="auto" w:fill="FFFFFF"/>
            <w:vAlign w:val="center"/>
          </w:tcPr>
          <w:p>
            <w:pPr>
              <w:jc w:val="center"/>
              <w:rPr>
                <w:szCs w:val="21"/>
              </w:rPr>
            </w:pPr>
            <w:r>
              <w:rPr>
                <w:szCs w:val="21"/>
              </w:rPr>
              <w:t>化学式</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分子量</w:t>
            </w:r>
          </w:p>
          <w:p>
            <w:pPr>
              <w:jc w:val="center"/>
              <w:rPr>
                <w:szCs w:val="21"/>
              </w:rPr>
            </w:pPr>
            <w:r>
              <w:rPr>
                <w:szCs w:val="21"/>
              </w:rPr>
              <w:t>（g/mol）</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ACE</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苊</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83-32-9</w:t>
            </w:r>
          </w:p>
        </w:tc>
        <w:tc>
          <w:tcPr>
            <w:tcW w:w="1680" w:type="dxa"/>
            <w:tcBorders>
              <w:top w:val="single" w:color="auto" w:sz="4" w:space="0"/>
              <w:left w:val="single" w:color="auto" w:sz="4" w:space="0"/>
            </w:tcBorders>
            <w:shd w:val="clear" w:color="auto" w:fill="FFFFFF"/>
            <w:vAlign w:val="center"/>
          </w:tcPr>
          <w:p>
            <w:pPr>
              <w:jc w:val="center"/>
              <w:rPr>
                <w:szCs w:val="21"/>
              </w:rPr>
            </w:pPr>
            <w:r>
              <w:rPr>
                <w:szCs w:val="21"/>
              </w:rPr>
              <w:t>C</w:t>
            </w:r>
            <w:r>
              <w:rPr>
                <w:szCs w:val="21"/>
                <w:vertAlign w:val="subscript"/>
              </w:rPr>
              <w:t>12</w:t>
            </w:r>
            <w:r>
              <w:rPr>
                <w:szCs w:val="21"/>
              </w:rPr>
              <w:t>H</w:t>
            </w:r>
            <w:r>
              <w:rPr>
                <w:szCs w:val="21"/>
                <w:vertAlign w:val="subscript"/>
              </w:rPr>
              <w:t>10</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154</w:t>
            </w:r>
            <w:r>
              <w:rPr>
                <w:rFonts w:hint="eastAsia"/>
                <w:szCs w:val="21"/>
                <w:lang w:eastAsia="zh-CN"/>
              </w:rPr>
              <w:t>.</w:t>
            </w:r>
            <w:r>
              <w:rPr>
                <w:szCs w:val="21"/>
              </w:rPr>
              <w:t>20</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ACY</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苊烯</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208-96-8</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12</w:t>
            </w:r>
            <w:r>
              <w:rPr>
                <w:szCs w:val="21"/>
              </w:rPr>
              <w:t>H</w:t>
            </w:r>
            <w:r>
              <w:rPr>
                <w:szCs w:val="21"/>
                <w:vertAlign w:val="subscript"/>
              </w:rPr>
              <w:t>8</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152</w:t>
            </w:r>
            <w:r>
              <w:rPr>
                <w:rFonts w:hint="eastAsia"/>
                <w:szCs w:val="21"/>
                <w:lang w:eastAsia="zh-CN"/>
              </w:rPr>
              <w:t>.</w:t>
            </w:r>
            <w:r>
              <w:rPr>
                <w:szCs w:val="21"/>
              </w:rPr>
              <w:t>20</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ANT</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蒽</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120-12-7</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14</w:t>
            </w:r>
            <w:r>
              <w:rPr>
                <w:szCs w:val="21"/>
              </w:rPr>
              <w:t>H</w:t>
            </w:r>
            <w:r>
              <w:rPr>
                <w:szCs w:val="21"/>
                <w:vertAlign w:val="subscript"/>
              </w:rPr>
              <w:t>10</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178</w:t>
            </w:r>
            <w:r>
              <w:rPr>
                <w:rFonts w:hint="eastAsia"/>
                <w:szCs w:val="21"/>
                <w:lang w:eastAsia="zh-CN"/>
              </w:rPr>
              <w:t>.</w:t>
            </w:r>
            <w:r>
              <w:rPr>
                <w:szCs w:val="21"/>
              </w:rPr>
              <w:t>24</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BaA</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苯并[a]蒽</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56-55-3</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18</w:t>
            </w:r>
            <w:r>
              <w:rPr>
                <w:szCs w:val="21"/>
              </w:rPr>
              <w:t>H</w:t>
            </w:r>
            <w:r>
              <w:rPr>
                <w:szCs w:val="21"/>
                <w:vertAlign w:val="subscript"/>
              </w:rPr>
              <w:t>12</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228</w:t>
            </w:r>
            <w:r>
              <w:rPr>
                <w:rFonts w:hint="eastAsia"/>
                <w:szCs w:val="21"/>
                <w:lang w:eastAsia="zh-CN"/>
              </w:rPr>
              <w:t>.</w:t>
            </w:r>
            <w:r>
              <w:rPr>
                <w:szCs w:val="21"/>
              </w:rPr>
              <w:t>30</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BaP</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苯并[a]芘</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50-32-8</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20</w:t>
            </w:r>
            <w:r>
              <w:rPr>
                <w:szCs w:val="21"/>
              </w:rPr>
              <w:t>H</w:t>
            </w:r>
            <w:r>
              <w:rPr>
                <w:szCs w:val="21"/>
                <w:vertAlign w:val="subscript"/>
              </w:rPr>
              <w:t>12</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252</w:t>
            </w:r>
            <w:r>
              <w:rPr>
                <w:rFonts w:hint="eastAsia"/>
                <w:szCs w:val="21"/>
                <w:lang w:eastAsia="zh-CN"/>
              </w:rPr>
              <w:t>.</w:t>
            </w:r>
            <w:r>
              <w:rPr>
                <w:szCs w:val="21"/>
              </w:rPr>
              <w:t>32</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BeP</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苯并[e]芘</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192-97-2</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20</w:t>
            </w:r>
            <w:r>
              <w:rPr>
                <w:szCs w:val="21"/>
              </w:rPr>
              <w:t>H</w:t>
            </w:r>
            <w:r>
              <w:rPr>
                <w:szCs w:val="21"/>
                <w:vertAlign w:val="subscript"/>
              </w:rPr>
              <w:t>12</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252</w:t>
            </w:r>
            <w:r>
              <w:rPr>
                <w:rFonts w:hint="eastAsia"/>
                <w:szCs w:val="21"/>
                <w:lang w:eastAsia="zh-CN"/>
              </w:rPr>
              <w:t>.</w:t>
            </w:r>
            <w:r>
              <w:rPr>
                <w:szCs w:val="21"/>
              </w:rPr>
              <w:t>32</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BbF</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苯并[b]荧蒽</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205-99-2</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20</w:t>
            </w:r>
            <w:r>
              <w:rPr>
                <w:szCs w:val="21"/>
              </w:rPr>
              <w:t>H</w:t>
            </w:r>
            <w:r>
              <w:rPr>
                <w:szCs w:val="21"/>
                <w:vertAlign w:val="subscript"/>
              </w:rPr>
              <w:t>12</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252</w:t>
            </w:r>
            <w:r>
              <w:rPr>
                <w:rFonts w:hint="eastAsia"/>
                <w:szCs w:val="21"/>
                <w:lang w:eastAsia="zh-CN"/>
              </w:rPr>
              <w:t>.</w:t>
            </w:r>
            <w:r>
              <w:rPr>
                <w:szCs w:val="21"/>
              </w:rPr>
              <w:t>32</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BjF</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苯并[j]荧蒽</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205-82-3</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20</w:t>
            </w:r>
            <w:r>
              <w:rPr>
                <w:szCs w:val="21"/>
              </w:rPr>
              <w:t>H</w:t>
            </w:r>
            <w:r>
              <w:rPr>
                <w:szCs w:val="21"/>
                <w:vertAlign w:val="subscript"/>
              </w:rPr>
              <w:t>12</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252</w:t>
            </w:r>
            <w:r>
              <w:rPr>
                <w:rFonts w:hint="eastAsia"/>
                <w:szCs w:val="21"/>
                <w:lang w:eastAsia="zh-CN"/>
              </w:rPr>
              <w:t>.</w:t>
            </w:r>
            <w:r>
              <w:rPr>
                <w:szCs w:val="21"/>
              </w:rPr>
              <w:t>32</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BkF</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苯并[k]荧蒽</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207-08-9</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20</w:t>
            </w:r>
            <w:r>
              <w:rPr>
                <w:szCs w:val="21"/>
              </w:rPr>
              <w:t>H</w:t>
            </w:r>
            <w:r>
              <w:rPr>
                <w:szCs w:val="21"/>
                <w:vertAlign w:val="subscript"/>
              </w:rPr>
              <w:t>12</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252</w:t>
            </w:r>
            <w:r>
              <w:rPr>
                <w:rFonts w:hint="eastAsia"/>
                <w:szCs w:val="21"/>
                <w:lang w:eastAsia="zh-CN"/>
              </w:rPr>
              <w:t>.</w:t>
            </w:r>
            <w:r>
              <w:rPr>
                <w:szCs w:val="21"/>
              </w:rPr>
              <w:t>32</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BghiP</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苯并[ghi]苝</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191-24-2</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22</w:t>
            </w:r>
            <w:r>
              <w:rPr>
                <w:szCs w:val="21"/>
              </w:rPr>
              <w:t>H</w:t>
            </w:r>
            <w:r>
              <w:rPr>
                <w:szCs w:val="21"/>
                <w:vertAlign w:val="subscript"/>
              </w:rPr>
              <w:t>12</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276</w:t>
            </w:r>
            <w:r>
              <w:rPr>
                <w:rFonts w:hint="eastAsia"/>
                <w:szCs w:val="21"/>
                <w:lang w:eastAsia="zh-CN"/>
              </w:rPr>
              <w:t>.</w:t>
            </w:r>
            <w:r>
              <w:rPr>
                <w:szCs w:val="21"/>
              </w:rPr>
              <w:t>34</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CHR</w:t>
            </w:r>
          </w:p>
        </w:tc>
        <w:tc>
          <w:tcPr>
            <w:tcW w:w="2537" w:type="dxa"/>
            <w:tcBorders>
              <w:top w:val="single" w:color="auto" w:sz="4" w:space="0"/>
              <w:left w:val="single" w:color="auto" w:sz="4" w:space="0"/>
            </w:tcBorders>
            <w:shd w:val="clear" w:color="auto" w:fill="FFFFFF"/>
            <w:vAlign w:val="center"/>
          </w:tcPr>
          <w:p>
            <w:pPr>
              <w:jc w:val="center"/>
              <w:rPr>
                <w:rFonts w:hint="eastAsia" w:eastAsia="宋体"/>
                <w:szCs w:val="21"/>
                <w:lang w:eastAsia="zh-CN"/>
              </w:rPr>
            </w:pPr>
            <w:r>
              <w:rPr>
                <w:rFonts w:hint="eastAsia"/>
                <w:szCs w:val="21"/>
                <w:lang w:eastAsia="zh-CN"/>
              </w:rPr>
              <w:t>䓛</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218-01-9</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18</w:t>
            </w:r>
            <w:r>
              <w:rPr>
                <w:szCs w:val="21"/>
              </w:rPr>
              <w:t>H</w:t>
            </w:r>
            <w:r>
              <w:rPr>
                <w:szCs w:val="21"/>
                <w:vertAlign w:val="subscript"/>
              </w:rPr>
              <w:t>12</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228</w:t>
            </w:r>
            <w:r>
              <w:rPr>
                <w:rFonts w:hint="eastAsia"/>
                <w:szCs w:val="21"/>
                <w:lang w:eastAsia="zh-CN"/>
              </w:rPr>
              <w:t>.</w:t>
            </w:r>
            <w:r>
              <w:rPr>
                <w:szCs w:val="21"/>
              </w:rPr>
              <w:t>30</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DBahA</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二苯并[a</w:t>
            </w:r>
            <w:r>
              <w:rPr>
                <w:rFonts w:hint="eastAsia"/>
                <w:szCs w:val="21"/>
                <w:lang w:eastAsia="zh-CN"/>
              </w:rPr>
              <w:t>，</w:t>
            </w:r>
            <w:r>
              <w:rPr>
                <w:szCs w:val="21"/>
              </w:rPr>
              <w:t>h]蒽</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53-70-3</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22</w:t>
            </w:r>
            <w:r>
              <w:rPr>
                <w:szCs w:val="21"/>
              </w:rPr>
              <w:t>H</w:t>
            </w:r>
            <w:r>
              <w:rPr>
                <w:szCs w:val="21"/>
                <w:vertAlign w:val="subscript"/>
              </w:rPr>
              <w:t>14</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278</w:t>
            </w:r>
            <w:r>
              <w:rPr>
                <w:rFonts w:hint="eastAsia"/>
                <w:szCs w:val="21"/>
                <w:lang w:eastAsia="zh-CN"/>
              </w:rPr>
              <w:t>.</w:t>
            </w:r>
            <w:r>
              <w:rPr>
                <w:szCs w:val="21"/>
              </w:rPr>
              <w:t>35</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FLU</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荧蒽</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206-44-0</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16</w:t>
            </w:r>
            <w:r>
              <w:rPr>
                <w:szCs w:val="21"/>
              </w:rPr>
              <w:t>H</w:t>
            </w:r>
            <w:r>
              <w:rPr>
                <w:szCs w:val="21"/>
                <w:vertAlign w:val="subscript"/>
              </w:rPr>
              <w:t>10</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202</w:t>
            </w:r>
            <w:r>
              <w:rPr>
                <w:rFonts w:hint="eastAsia"/>
                <w:szCs w:val="21"/>
                <w:lang w:eastAsia="zh-CN"/>
              </w:rPr>
              <w:t>.</w:t>
            </w:r>
            <w:r>
              <w:rPr>
                <w:szCs w:val="21"/>
              </w:rPr>
              <w:t>26</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FLN</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芴</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86-73-7</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13</w:t>
            </w:r>
            <w:r>
              <w:rPr>
                <w:szCs w:val="21"/>
              </w:rPr>
              <w:t>H</w:t>
            </w:r>
            <w:r>
              <w:rPr>
                <w:szCs w:val="21"/>
                <w:vertAlign w:val="subscript"/>
              </w:rPr>
              <w:t>10</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166</w:t>
            </w:r>
            <w:r>
              <w:rPr>
                <w:rFonts w:hint="eastAsia"/>
                <w:szCs w:val="21"/>
                <w:lang w:eastAsia="zh-CN"/>
              </w:rPr>
              <w:t>.</w:t>
            </w:r>
            <w:r>
              <w:rPr>
                <w:szCs w:val="21"/>
              </w:rPr>
              <w:t>23</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IcdP</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茚并[1</w:t>
            </w:r>
            <w:r>
              <w:rPr>
                <w:rFonts w:hint="eastAsia"/>
                <w:szCs w:val="21"/>
                <w:lang w:eastAsia="zh-CN"/>
              </w:rPr>
              <w:t>，</w:t>
            </w:r>
            <w:r>
              <w:rPr>
                <w:szCs w:val="21"/>
              </w:rPr>
              <w:t>2</w:t>
            </w:r>
            <w:r>
              <w:rPr>
                <w:rFonts w:hint="eastAsia"/>
                <w:szCs w:val="21"/>
                <w:lang w:eastAsia="zh-CN"/>
              </w:rPr>
              <w:t>，</w:t>
            </w:r>
            <w:r>
              <w:rPr>
                <w:szCs w:val="21"/>
              </w:rPr>
              <w:t>3</w:t>
            </w:r>
            <w:r>
              <w:rPr>
                <w:rFonts w:hint="eastAsia"/>
                <w:szCs w:val="21"/>
                <w:lang w:val="en-US" w:eastAsia="zh-CN"/>
              </w:rPr>
              <w:t>-</w:t>
            </w:r>
            <w:r>
              <w:rPr>
                <w:szCs w:val="21"/>
              </w:rPr>
              <w:t>cd]芘</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193-39-5</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22</w:t>
            </w:r>
            <w:r>
              <w:rPr>
                <w:szCs w:val="21"/>
              </w:rPr>
              <w:t>H</w:t>
            </w:r>
            <w:r>
              <w:rPr>
                <w:szCs w:val="21"/>
                <w:vertAlign w:val="subscript"/>
              </w:rPr>
              <w:t>12</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276</w:t>
            </w:r>
            <w:r>
              <w:rPr>
                <w:rFonts w:hint="eastAsia"/>
                <w:szCs w:val="21"/>
                <w:lang w:eastAsia="zh-CN"/>
              </w:rPr>
              <w:t>.</w:t>
            </w:r>
            <w:r>
              <w:rPr>
                <w:szCs w:val="21"/>
              </w:rPr>
              <w:t>34</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NP</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萘</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91-20-3</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10</w:t>
            </w:r>
            <w:r>
              <w:rPr>
                <w:szCs w:val="21"/>
              </w:rPr>
              <w:t>H</w:t>
            </w:r>
            <w:r>
              <w:rPr>
                <w:szCs w:val="21"/>
                <w:vertAlign w:val="subscript"/>
              </w:rPr>
              <w:t>8</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128</w:t>
            </w:r>
            <w:r>
              <w:rPr>
                <w:rFonts w:hint="eastAsia"/>
                <w:szCs w:val="21"/>
                <w:lang w:eastAsia="zh-CN"/>
              </w:rPr>
              <w:t>.</w:t>
            </w:r>
            <w:r>
              <w:rPr>
                <w:szCs w:val="21"/>
              </w:rPr>
              <w:t>18</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tcBorders>
            <w:shd w:val="clear" w:color="auto" w:fill="FFFFFF"/>
            <w:vAlign w:val="center"/>
          </w:tcPr>
          <w:p>
            <w:pPr>
              <w:jc w:val="center"/>
              <w:rPr>
                <w:szCs w:val="21"/>
              </w:rPr>
            </w:pPr>
            <w:r>
              <w:rPr>
                <w:szCs w:val="21"/>
              </w:rPr>
              <w:t>PHE</w:t>
            </w:r>
          </w:p>
        </w:tc>
        <w:tc>
          <w:tcPr>
            <w:tcW w:w="2537" w:type="dxa"/>
            <w:tcBorders>
              <w:top w:val="single" w:color="auto" w:sz="4" w:space="0"/>
              <w:left w:val="single" w:color="auto" w:sz="4" w:space="0"/>
            </w:tcBorders>
            <w:shd w:val="clear" w:color="auto" w:fill="FFFFFF"/>
            <w:vAlign w:val="center"/>
          </w:tcPr>
          <w:p>
            <w:pPr>
              <w:jc w:val="center"/>
              <w:rPr>
                <w:szCs w:val="21"/>
              </w:rPr>
            </w:pPr>
            <w:r>
              <w:rPr>
                <w:szCs w:val="21"/>
              </w:rPr>
              <w:t>菲</w:t>
            </w:r>
          </w:p>
        </w:tc>
        <w:tc>
          <w:tcPr>
            <w:tcW w:w="1665" w:type="dxa"/>
            <w:tcBorders>
              <w:top w:val="single" w:color="auto" w:sz="4" w:space="0"/>
              <w:left w:val="single" w:color="auto" w:sz="4" w:space="0"/>
            </w:tcBorders>
            <w:shd w:val="clear" w:color="auto" w:fill="FFFFFF"/>
            <w:vAlign w:val="center"/>
          </w:tcPr>
          <w:p>
            <w:pPr>
              <w:jc w:val="center"/>
              <w:rPr>
                <w:szCs w:val="21"/>
              </w:rPr>
            </w:pPr>
            <w:r>
              <w:rPr>
                <w:szCs w:val="21"/>
              </w:rPr>
              <w:t>85-01-8</w:t>
            </w:r>
          </w:p>
        </w:tc>
        <w:tc>
          <w:tcPr>
            <w:tcW w:w="1680" w:type="dxa"/>
            <w:tcBorders>
              <w:top w:val="single" w:color="auto" w:sz="4" w:space="0"/>
              <w:left w:val="single" w:color="auto" w:sz="4" w:space="0"/>
            </w:tcBorders>
            <w:shd w:val="clear" w:color="auto" w:fill="FFFFFF"/>
            <w:vAlign w:val="center"/>
          </w:tcPr>
          <w:p>
            <w:pPr>
              <w:jc w:val="center"/>
            </w:pPr>
            <w:r>
              <w:rPr>
                <w:szCs w:val="21"/>
              </w:rPr>
              <w:t>C</w:t>
            </w:r>
            <w:r>
              <w:rPr>
                <w:szCs w:val="21"/>
                <w:vertAlign w:val="subscript"/>
              </w:rPr>
              <w:t>14</w:t>
            </w:r>
            <w:r>
              <w:rPr>
                <w:szCs w:val="21"/>
              </w:rPr>
              <w:t>H</w:t>
            </w:r>
            <w:r>
              <w:rPr>
                <w:szCs w:val="21"/>
                <w:vertAlign w:val="subscript"/>
              </w:rPr>
              <w:t>10</w:t>
            </w:r>
          </w:p>
        </w:tc>
        <w:tc>
          <w:tcPr>
            <w:tcW w:w="173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178</w:t>
            </w:r>
            <w:r>
              <w:rPr>
                <w:rFonts w:hint="eastAsia"/>
                <w:szCs w:val="21"/>
                <w:lang w:eastAsia="zh-CN"/>
              </w:rPr>
              <w:t>.</w:t>
            </w:r>
            <w:r>
              <w:rPr>
                <w:szCs w:val="21"/>
              </w:rPr>
              <w:t>24</w:t>
            </w:r>
          </w:p>
        </w:tc>
      </w:tr>
      <w:tr>
        <w:tblPrEx>
          <w:tblLayout w:type="fixed"/>
          <w:tblCellMar>
            <w:top w:w="0" w:type="dxa"/>
            <w:left w:w="57" w:type="dxa"/>
            <w:bottom w:w="0" w:type="dxa"/>
            <w:right w:w="57" w:type="dxa"/>
          </w:tblCellMar>
        </w:tblPrEx>
        <w:tc>
          <w:tcPr>
            <w:tcW w:w="1856"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PYR</w:t>
            </w:r>
          </w:p>
        </w:tc>
        <w:tc>
          <w:tcPr>
            <w:tcW w:w="2537"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芘</w:t>
            </w:r>
          </w:p>
        </w:tc>
        <w:tc>
          <w:tcPr>
            <w:tcW w:w="1665"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129-00-0</w:t>
            </w:r>
          </w:p>
        </w:tc>
        <w:tc>
          <w:tcPr>
            <w:tcW w:w="1680" w:type="dxa"/>
            <w:tcBorders>
              <w:top w:val="single" w:color="auto" w:sz="4" w:space="0"/>
              <w:left w:val="single" w:color="auto" w:sz="4" w:space="0"/>
              <w:bottom w:val="single" w:color="auto" w:sz="4" w:space="0"/>
            </w:tcBorders>
            <w:shd w:val="clear" w:color="auto" w:fill="FFFFFF"/>
            <w:vAlign w:val="center"/>
          </w:tcPr>
          <w:p>
            <w:pPr>
              <w:jc w:val="center"/>
            </w:pPr>
            <w:r>
              <w:rPr>
                <w:szCs w:val="21"/>
              </w:rPr>
              <w:t>C</w:t>
            </w:r>
            <w:r>
              <w:rPr>
                <w:szCs w:val="21"/>
                <w:vertAlign w:val="subscript"/>
              </w:rPr>
              <w:t>16</w:t>
            </w:r>
            <w:r>
              <w:rPr>
                <w:szCs w:val="21"/>
              </w:rPr>
              <w:t>H</w:t>
            </w:r>
            <w:r>
              <w:rPr>
                <w:szCs w:val="21"/>
                <w:vertAlign w:val="subscript"/>
              </w:rPr>
              <w:t>10</w:t>
            </w:r>
          </w:p>
        </w:tc>
        <w:tc>
          <w:tcPr>
            <w:tcW w:w="173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szCs w:val="21"/>
              </w:rPr>
            </w:pPr>
            <w:r>
              <w:rPr>
                <w:szCs w:val="21"/>
              </w:rPr>
              <w:t>202</w:t>
            </w:r>
            <w:r>
              <w:rPr>
                <w:rFonts w:hint="eastAsia"/>
                <w:szCs w:val="21"/>
                <w:lang w:eastAsia="zh-CN"/>
              </w:rPr>
              <w:t>.</w:t>
            </w:r>
            <w:r>
              <w:rPr>
                <w:szCs w:val="21"/>
              </w:rPr>
              <w:t>26</w:t>
            </w:r>
          </w:p>
        </w:tc>
      </w:tr>
    </w:tbl>
    <w:p>
      <w:pPr>
        <w:ind w:left="851" w:leftChars="200" w:hanging="431"/>
        <w:rPr>
          <w:szCs w:val="21"/>
        </w:rPr>
      </w:pPr>
      <w:r>
        <w:rPr>
          <w:szCs w:val="21"/>
        </w:rPr>
        <w:t>a）</w:t>
      </w:r>
      <w:r>
        <w:rPr>
          <w:rFonts w:hint="eastAsia"/>
          <w:szCs w:val="21"/>
        </w:rPr>
        <w:tab/>
      </w:r>
      <w:r>
        <w:rPr>
          <w:szCs w:val="21"/>
        </w:rPr>
        <w:t>1 000 mg/</w:t>
      </w:r>
      <w:r>
        <w:rPr>
          <w:rFonts w:hint="eastAsia"/>
          <w:szCs w:val="21"/>
          <w:lang w:val="en-US" w:eastAsia="zh-CN"/>
        </w:rPr>
        <w:t>L</w:t>
      </w:r>
      <w:r>
        <w:rPr>
          <w:szCs w:val="21"/>
        </w:rPr>
        <w:t>标准混合溶液：</w:t>
      </w:r>
    </w:p>
    <w:p>
      <w:pPr>
        <w:ind w:firstLine="420" w:firstLineChars="200"/>
        <w:rPr>
          <w:szCs w:val="21"/>
        </w:rPr>
      </w:pPr>
      <w:r>
        <w:rPr>
          <w:rFonts w:hint="eastAsia"/>
          <w:szCs w:val="21"/>
        </w:rPr>
        <w:t>分别准确称取表2中的标准物0.1g，精确至0.001g，置于100 mL烧杯中，用少量二氯甲烷溶解（5a）），然后转移到100 mL容量瓶中（6</w:t>
      </w:r>
      <w:r>
        <w:rPr>
          <w:rFonts w:hint="eastAsia"/>
          <w:szCs w:val="21"/>
          <w:lang w:val="en-US" w:eastAsia="zh-CN"/>
        </w:rPr>
        <w:t>.</w:t>
      </w:r>
      <w:r>
        <w:rPr>
          <w:rFonts w:hint="eastAsia"/>
          <w:szCs w:val="21"/>
        </w:rPr>
        <w:t>b</w:t>
      </w:r>
      <w:r>
        <w:rPr>
          <w:rFonts w:hint="eastAsia"/>
          <w:szCs w:val="21"/>
          <w:lang w:eastAsia="zh-CN"/>
        </w:rPr>
        <w:t>）</w:t>
      </w:r>
      <w:r>
        <w:rPr>
          <w:rFonts w:hint="eastAsia"/>
          <w:szCs w:val="21"/>
        </w:rPr>
        <w:t>）并用二氯甲烷定容，摇匀混合物。（如有必要，可采用超声波振荡。）”</w:t>
      </w:r>
    </w:p>
    <w:p>
      <w:pPr>
        <w:ind w:left="851" w:leftChars="200" w:hanging="431"/>
        <w:rPr>
          <w:szCs w:val="21"/>
        </w:rPr>
      </w:pPr>
      <w:r>
        <w:rPr>
          <w:szCs w:val="21"/>
        </w:rPr>
        <w:t>b）</w:t>
      </w:r>
      <w:r>
        <w:rPr>
          <w:rFonts w:hint="eastAsia"/>
          <w:szCs w:val="21"/>
        </w:rPr>
        <w:tab/>
      </w:r>
      <w:r>
        <w:rPr>
          <w:szCs w:val="21"/>
        </w:rPr>
        <w:t>20 mg/</w:t>
      </w:r>
      <w:r>
        <w:rPr>
          <w:rFonts w:hint="eastAsia"/>
          <w:szCs w:val="21"/>
          <w:lang w:val="en-US" w:eastAsia="zh-CN"/>
        </w:rPr>
        <w:t>L</w:t>
      </w:r>
      <w:r>
        <w:rPr>
          <w:szCs w:val="21"/>
        </w:rPr>
        <w:t>标准混合溶液：</w:t>
      </w:r>
    </w:p>
    <w:p>
      <w:pPr>
        <w:ind w:firstLine="420" w:firstLineChars="200"/>
        <w:rPr>
          <w:szCs w:val="21"/>
        </w:rPr>
      </w:pPr>
      <w:r>
        <w:rPr>
          <w:rFonts w:hint="eastAsia"/>
          <w:szCs w:val="21"/>
          <w:lang w:val="en-US" w:eastAsia="zh-CN"/>
        </w:rPr>
        <w:t>分别</w:t>
      </w:r>
      <w:r>
        <w:rPr>
          <w:szCs w:val="21"/>
        </w:rPr>
        <w:t>吸取每种标准</w:t>
      </w:r>
      <w:r>
        <w:rPr>
          <w:rFonts w:hint="eastAsia"/>
          <w:szCs w:val="21"/>
          <w:lang w:val="en-US" w:eastAsia="zh-CN"/>
        </w:rPr>
        <w:t>混合</w:t>
      </w:r>
      <w:r>
        <w:rPr>
          <w:szCs w:val="21"/>
        </w:rPr>
        <w:t>储备溶液（8.4.3 a））各2 m</w:t>
      </w:r>
      <w:r>
        <w:rPr>
          <w:rFonts w:hint="eastAsia"/>
          <w:szCs w:val="21"/>
          <w:lang w:val="en-US" w:eastAsia="zh-CN"/>
        </w:rPr>
        <w:t>L</w:t>
      </w:r>
      <w:r>
        <w:rPr>
          <w:szCs w:val="21"/>
        </w:rPr>
        <w:t>和2 m</w:t>
      </w:r>
      <w:r>
        <w:rPr>
          <w:rFonts w:hint="eastAsia"/>
          <w:szCs w:val="21"/>
          <w:lang w:val="en-US" w:eastAsia="zh-CN"/>
        </w:rPr>
        <w:t>L</w:t>
      </w:r>
      <w:r>
        <w:rPr>
          <w:rFonts w:hint="eastAsia"/>
          <w:szCs w:val="21"/>
          <w:lang w:eastAsia="zh-CN"/>
        </w:rPr>
        <w:t>标记物溶液</w:t>
      </w:r>
      <w:r>
        <w:rPr>
          <w:szCs w:val="21"/>
        </w:rPr>
        <w:t>（8.4.5 b））到100 m</w:t>
      </w:r>
      <w:r>
        <w:rPr>
          <w:rFonts w:hint="eastAsia"/>
          <w:szCs w:val="21"/>
          <w:lang w:val="en-US" w:eastAsia="zh-CN"/>
        </w:rPr>
        <w:t>L</w:t>
      </w:r>
      <w:r>
        <w:rPr>
          <w:rFonts w:hint="eastAsia"/>
          <w:szCs w:val="21"/>
          <w:lang w:eastAsia="zh-CN"/>
        </w:rPr>
        <w:t>容量瓶</w:t>
      </w:r>
      <w:r>
        <w:rPr>
          <w:szCs w:val="21"/>
        </w:rPr>
        <w:t>中，并</w:t>
      </w:r>
      <w:r>
        <w:rPr>
          <w:rFonts w:hint="eastAsia"/>
          <w:szCs w:val="21"/>
          <w:lang w:val="en-US" w:eastAsia="zh-CN"/>
        </w:rPr>
        <w:t>加入</w:t>
      </w:r>
      <w:r>
        <w:rPr>
          <w:szCs w:val="21"/>
        </w:rPr>
        <w:t>二氯甲烷</w:t>
      </w:r>
      <w:r>
        <w:rPr>
          <w:rFonts w:hint="eastAsia"/>
          <w:szCs w:val="21"/>
          <w:lang w:val="en-US" w:eastAsia="zh-CN"/>
        </w:rPr>
        <w:t>定容</w:t>
      </w:r>
      <w:r>
        <w:rPr>
          <w:szCs w:val="21"/>
        </w:rPr>
        <w:t>。</w:t>
      </w:r>
    </w:p>
    <w:p>
      <w:pPr>
        <w:ind w:left="851" w:leftChars="200" w:hanging="431"/>
        <w:rPr>
          <w:szCs w:val="21"/>
        </w:rPr>
      </w:pPr>
      <w:r>
        <w:rPr>
          <w:szCs w:val="21"/>
        </w:rPr>
        <w:t>c）</w:t>
      </w:r>
      <w:r>
        <w:rPr>
          <w:rFonts w:hint="eastAsia"/>
          <w:szCs w:val="21"/>
        </w:rPr>
        <w:tab/>
      </w:r>
      <w:r>
        <w:rPr>
          <w:szCs w:val="21"/>
        </w:rPr>
        <w:t>10 mg/</w:t>
      </w:r>
      <w:r>
        <w:rPr>
          <w:rFonts w:hint="eastAsia"/>
          <w:szCs w:val="21"/>
          <w:lang w:eastAsia="zh-CN"/>
        </w:rPr>
        <w:t>L</w:t>
      </w:r>
      <w:r>
        <w:rPr>
          <w:szCs w:val="21"/>
        </w:rPr>
        <w:t>标准混合溶液：</w:t>
      </w:r>
    </w:p>
    <w:p>
      <w:pPr>
        <w:ind w:firstLine="420" w:firstLineChars="200"/>
        <w:rPr>
          <w:szCs w:val="21"/>
        </w:rPr>
      </w:pPr>
      <w:r>
        <w:rPr>
          <w:rFonts w:hint="eastAsia"/>
          <w:szCs w:val="21"/>
          <w:lang w:val="en-US" w:eastAsia="zh-CN"/>
        </w:rPr>
        <w:t>分别</w:t>
      </w:r>
      <w:r>
        <w:rPr>
          <w:szCs w:val="21"/>
        </w:rPr>
        <w:t>吸取每种标准</w:t>
      </w:r>
      <w:r>
        <w:rPr>
          <w:rFonts w:hint="eastAsia"/>
          <w:szCs w:val="21"/>
          <w:lang w:val="en-US" w:eastAsia="zh-CN"/>
        </w:rPr>
        <w:t>混合</w:t>
      </w:r>
      <w:r>
        <w:rPr>
          <w:szCs w:val="21"/>
        </w:rPr>
        <w:t>溶液（8.4.3 a））各1 m</w:t>
      </w:r>
      <w:r>
        <w:rPr>
          <w:rFonts w:hint="eastAsia"/>
          <w:szCs w:val="21"/>
          <w:lang w:eastAsia="zh-CN"/>
        </w:rPr>
        <w:t>L</w:t>
      </w:r>
      <w:r>
        <w:rPr>
          <w:szCs w:val="21"/>
        </w:rPr>
        <w:t>和1 m</w:t>
      </w:r>
      <w:r>
        <w:rPr>
          <w:rFonts w:hint="eastAsia"/>
          <w:szCs w:val="21"/>
          <w:lang w:eastAsia="zh-CN"/>
        </w:rPr>
        <w:t>L</w:t>
      </w:r>
      <w:r>
        <w:rPr>
          <w:rFonts w:hint="eastAsia"/>
          <w:szCs w:val="21"/>
          <w:lang w:val="en-US" w:eastAsia="zh-CN"/>
        </w:rPr>
        <w:t>标记物</w:t>
      </w:r>
      <w:r>
        <w:rPr>
          <w:szCs w:val="21"/>
        </w:rPr>
        <w:t>溶液（8.4.5 b））到100 m</w:t>
      </w:r>
      <w:r>
        <w:rPr>
          <w:rFonts w:hint="eastAsia"/>
          <w:szCs w:val="21"/>
          <w:lang w:eastAsia="zh-CN"/>
        </w:rPr>
        <w:t>L容量瓶</w:t>
      </w:r>
      <w:r>
        <w:rPr>
          <w:szCs w:val="21"/>
        </w:rPr>
        <w:t>中，并</w:t>
      </w:r>
      <w:r>
        <w:rPr>
          <w:rFonts w:hint="eastAsia"/>
          <w:szCs w:val="21"/>
          <w:lang w:val="en-US" w:eastAsia="zh-CN"/>
        </w:rPr>
        <w:t>加入</w:t>
      </w:r>
      <w:r>
        <w:rPr>
          <w:szCs w:val="21"/>
        </w:rPr>
        <w:t>二氯甲烷</w:t>
      </w:r>
      <w:r>
        <w:rPr>
          <w:rFonts w:hint="eastAsia"/>
          <w:szCs w:val="21"/>
          <w:lang w:val="en-US" w:eastAsia="zh-CN"/>
        </w:rPr>
        <w:t>定容</w:t>
      </w:r>
      <w:r>
        <w:rPr>
          <w:szCs w:val="21"/>
        </w:rPr>
        <w:t>。</w:t>
      </w:r>
    </w:p>
    <w:p>
      <w:pPr>
        <w:ind w:left="851" w:leftChars="200" w:hanging="431"/>
        <w:rPr>
          <w:szCs w:val="21"/>
        </w:rPr>
      </w:pPr>
      <w:r>
        <w:rPr>
          <w:szCs w:val="21"/>
        </w:rPr>
        <w:t>d）</w:t>
      </w:r>
      <w:r>
        <w:rPr>
          <w:rFonts w:hint="eastAsia"/>
          <w:szCs w:val="21"/>
        </w:rPr>
        <w:tab/>
      </w:r>
      <w:r>
        <w:rPr>
          <w:szCs w:val="21"/>
        </w:rPr>
        <w:t>GC-MS分析用标准溶液（对于低浓度样品）：</w:t>
      </w:r>
    </w:p>
    <w:p>
      <w:pPr>
        <w:ind w:firstLine="420" w:firstLineChars="200"/>
        <w:rPr>
          <w:szCs w:val="21"/>
        </w:rPr>
      </w:pPr>
      <w:r>
        <w:rPr>
          <w:szCs w:val="21"/>
        </w:rPr>
        <w:t xml:space="preserve">制备低浓度的标准溶液（8.4.3 </w:t>
      </w:r>
      <w:r>
        <w:rPr>
          <w:rFonts w:hint="eastAsia"/>
          <w:szCs w:val="21"/>
          <w:lang w:val="en-US" w:eastAsia="zh-CN"/>
        </w:rPr>
        <w:t>.</w:t>
      </w:r>
      <w:r>
        <w:rPr>
          <w:szCs w:val="21"/>
        </w:rPr>
        <w:t>e）至 8.4.3</w:t>
      </w:r>
      <w:r>
        <w:rPr>
          <w:rFonts w:hint="eastAsia"/>
          <w:szCs w:val="21"/>
          <w:lang w:val="en-US" w:eastAsia="zh-CN"/>
        </w:rPr>
        <w:t>.</w:t>
      </w:r>
      <w:r>
        <w:rPr>
          <w:szCs w:val="21"/>
        </w:rPr>
        <w:t xml:space="preserve"> h）），用于GC-MS分析，如表3所示。这些标准</w:t>
      </w:r>
      <w:r>
        <w:rPr>
          <w:rFonts w:hint="eastAsia"/>
          <w:szCs w:val="21"/>
          <w:lang w:val="en-US" w:eastAsia="zh-CN"/>
        </w:rPr>
        <w:t>混合</w:t>
      </w:r>
      <w:r>
        <w:rPr>
          <w:szCs w:val="21"/>
        </w:rPr>
        <w:t>溶液各含有18种PAH</w:t>
      </w:r>
      <w:r>
        <w:rPr>
          <w:rFonts w:hint="eastAsia"/>
          <w:szCs w:val="21"/>
          <w:lang w:val="en-US" w:eastAsia="zh-CN"/>
        </w:rPr>
        <w:t>s</w:t>
      </w:r>
      <w:r>
        <w:rPr>
          <w:szCs w:val="21"/>
        </w:rPr>
        <w:t>化合物，含量</w:t>
      </w:r>
      <w:r>
        <w:rPr>
          <w:rFonts w:hint="eastAsia"/>
          <w:szCs w:val="21"/>
          <w:lang w:val="en-US" w:eastAsia="zh-CN"/>
        </w:rPr>
        <w:t>分别</w:t>
      </w:r>
      <w:r>
        <w:rPr>
          <w:szCs w:val="21"/>
        </w:rPr>
        <w:t>为（20、50、100、200）μg/</w:t>
      </w:r>
      <w:r>
        <w:rPr>
          <w:rFonts w:hint="eastAsia"/>
          <w:szCs w:val="21"/>
          <w:lang w:eastAsia="zh-CN"/>
        </w:rPr>
        <w:t>L</w:t>
      </w:r>
      <w:r>
        <w:rPr>
          <w:szCs w:val="21"/>
        </w:rPr>
        <w:t>。内标物各含有50 μg/</w:t>
      </w:r>
      <w:r>
        <w:rPr>
          <w:rFonts w:hint="eastAsia"/>
          <w:szCs w:val="21"/>
          <w:lang w:eastAsia="zh-CN"/>
        </w:rPr>
        <w:t>L</w:t>
      </w:r>
      <w:r>
        <w:rPr>
          <w:szCs w:val="21"/>
        </w:rPr>
        <w:t>的物质（如萘-d8、蒽-d10 和苯并[a]芘-d12）。</w:t>
      </w:r>
    </w:p>
    <w:p>
      <w:pPr>
        <w:ind w:left="851" w:leftChars="200" w:hanging="431"/>
        <w:rPr>
          <w:szCs w:val="21"/>
        </w:rPr>
      </w:pPr>
      <w:r>
        <w:rPr>
          <w:szCs w:val="21"/>
        </w:rPr>
        <w:t>e）</w:t>
      </w:r>
      <w:r>
        <w:rPr>
          <w:rFonts w:hint="eastAsia"/>
          <w:szCs w:val="21"/>
        </w:rPr>
        <w:tab/>
      </w:r>
      <w:r>
        <w:rPr>
          <w:szCs w:val="21"/>
        </w:rPr>
        <w:t>20 μg/</w:t>
      </w:r>
      <w:r>
        <w:rPr>
          <w:rFonts w:hint="eastAsia"/>
          <w:szCs w:val="21"/>
          <w:lang w:eastAsia="zh-CN"/>
        </w:rPr>
        <w:t>L</w:t>
      </w:r>
      <w:r>
        <w:rPr>
          <w:szCs w:val="21"/>
        </w:rPr>
        <w:t>标准溶液：</w:t>
      </w:r>
    </w:p>
    <w:p>
      <w:pPr>
        <w:ind w:firstLine="420" w:firstLineChars="200"/>
        <w:rPr>
          <w:szCs w:val="21"/>
        </w:rPr>
      </w:pPr>
      <w:r>
        <w:rPr>
          <w:szCs w:val="21"/>
        </w:rPr>
        <w:t>吸取0.02 m</w:t>
      </w:r>
      <w:r>
        <w:rPr>
          <w:rFonts w:hint="eastAsia"/>
          <w:szCs w:val="21"/>
          <w:lang w:eastAsia="zh-CN"/>
        </w:rPr>
        <w:t>L</w:t>
      </w:r>
      <w:r>
        <w:rPr>
          <w:szCs w:val="21"/>
        </w:rPr>
        <w:t>标准溶液（取自10 mg/</w:t>
      </w:r>
      <w:r>
        <w:rPr>
          <w:rFonts w:hint="eastAsia"/>
          <w:szCs w:val="21"/>
          <w:lang w:eastAsia="zh-CN"/>
        </w:rPr>
        <w:t>L</w:t>
      </w:r>
      <w:r>
        <w:rPr>
          <w:szCs w:val="21"/>
        </w:rPr>
        <w:t>标准</w:t>
      </w:r>
      <w:r>
        <w:rPr>
          <w:rFonts w:hint="eastAsia"/>
          <w:szCs w:val="21"/>
          <w:lang w:val="en-US" w:eastAsia="zh-CN"/>
        </w:rPr>
        <w:t>混合</w:t>
      </w:r>
      <w:r>
        <w:rPr>
          <w:szCs w:val="21"/>
        </w:rPr>
        <w:t>溶液）和0.1 m</w:t>
      </w:r>
      <w:r>
        <w:rPr>
          <w:rFonts w:hint="eastAsia"/>
          <w:szCs w:val="21"/>
          <w:lang w:eastAsia="zh-CN"/>
        </w:rPr>
        <w:t>L</w:t>
      </w:r>
      <w:r>
        <w:rPr>
          <w:szCs w:val="21"/>
        </w:rPr>
        <w:t>工作内标溶液（取自5 mg/</w:t>
      </w:r>
      <w:r>
        <w:rPr>
          <w:rFonts w:hint="eastAsia"/>
          <w:szCs w:val="21"/>
          <w:lang w:eastAsia="zh-CN"/>
        </w:rPr>
        <w:t>L</w:t>
      </w:r>
      <w:r>
        <w:rPr>
          <w:szCs w:val="21"/>
        </w:rPr>
        <w:t>内标溶液）到10 m</w:t>
      </w:r>
      <w:r>
        <w:rPr>
          <w:rFonts w:hint="eastAsia"/>
          <w:szCs w:val="21"/>
          <w:lang w:eastAsia="zh-CN"/>
        </w:rPr>
        <w:t>L容量瓶</w:t>
      </w:r>
      <w:r>
        <w:rPr>
          <w:szCs w:val="21"/>
        </w:rPr>
        <w:t>中，并</w:t>
      </w:r>
      <w:r>
        <w:rPr>
          <w:rFonts w:hint="eastAsia"/>
          <w:szCs w:val="21"/>
          <w:lang w:val="en-US" w:eastAsia="zh-CN"/>
        </w:rPr>
        <w:t>加入</w:t>
      </w:r>
      <w:r>
        <w:rPr>
          <w:szCs w:val="21"/>
        </w:rPr>
        <w:t>二氯甲烷</w:t>
      </w:r>
      <w:r>
        <w:rPr>
          <w:rFonts w:hint="eastAsia"/>
          <w:szCs w:val="21"/>
          <w:lang w:eastAsia="zh-CN"/>
        </w:rPr>
        <w:t>定容</w:t>
      </w:r>
      <w:r>
        <w:rPr>
          <w:szCs w:val="21"/>
        </w:rPr>
        <w:t>。</w:t>
      </w:r>
    </w:p>
    <w:p>
      <w:pPr>
        <w:ind w:left="851" w:leftChars="200" w:hanging="431"/>
        <w:rPr>
          <w:szCs w:val="21"/>
        </w:rPr>
      </w:pPr>
      <w:r>
        <w:rPr>
          <w:szCs w:val="21"/>
        </w:rPr>
        <w:t>f）</w:t>
      </w:r>
      <w:r>
        <w:rPr>
          <w:rFonts w:hint="eastAsia"/>
          <w:szCs w:val="21"/>
        </w:rPr>
        <w:tab/>
      </w:r>
      <w:r>
        <w:rPr>
          <w:szCs w:val="21"/>
        </w:rPr>
        <w:t>50 μg/</w:t>
      </w:r>
      <w:r>
        <w:rPr>
          <w:rFonts w:hint="eastAsia"/>
          <w:szCs w:val="21"/>
          <w:lang w:eastAsia="zh-CN"/>
        </w:rPr>
        <w:t>L</w:t>
      </w:r>
      <w:r>
        <w:rPr>
          <w:szCs w:val="21"/>
        </w:rPr>
        <w:t>标准溶液：</w:t>
      </w:r>
    </w:p>
    <w:p>
      <w:pPr>
        <w:ind w:firstLine="420" w:firstLineChars="200"/>
        <w:rPr>
          <w:szCs w:val="21"/>
        </w:rPr>
      </w:pPr>
      <w:r>
        <w:rPr>
          <w:szCs w:val="21"/>
        </w:rPr>
        <w:t>吸取0.05 m</w:t>
      </w:r>
      <w:r>
        <w:rPr>
          <w:rFonts w:hint="eastAsia"/>
          <w:szCs w:val="21"/>
          <w:lang w:eastAsia="zh-CN"/>
        </w:rPr>
        <w:t>L</w:t>
      </w:r>
      <w:r>
        <w:rPr>
          <w:szCs w:val="21"/>
        </w:rPr>
        <w:t>标准溶液（取自10 mg/</w:t>
      </w:r>
      <w:r>
        <w:rPr>
          <w:rFonts w:hint="eastAsia"/>
          <w:szCs w:val="21"/>
          <w:lang w:eastAsia="zh-CN"/>
        </w:rPr>
        <w:t>L</w:t>
      </w:r>
      <w:r>
        <w:rPr>
          <w:szCs w:val="21"/>
        </w:rPr>
        <w:t>标准</w:t>
      </w:r>
      <w:r>
        <w:rPr>
          <w:rFonts w:hint="eastAsia"/>
          <w:szCs w:val="21"/>
          <w:lang w:val="en-US" w:eastAsia="zh-CN"/>
        </w:rPr>
        <w:t>混合</w:t>
      </w:r>
      <w:r>
        <w:rPr>
          <w:szCs w:val="21"/>
        </w:rPr>
        <w:t>溶液）和0.1 m</w:t>
      </w:r>
      <w:r>
        <w:rPr>
          <w:rFonts w:hint="eastAsia"/>
          <w:szCs w:val="21"/>
          <w:lang w:eastAsia="zh-CN"/>
        </w:rPr>
        <w:t>L</w:t>
      </w:r>
      <w:r>
        <w:rPr>
          <w:szCs w:val="21"/>
        </w:rPr>
        <w:t>工作内标溶液（取自5 mg/</w:t>
      </w:r>
      <w:r>
        <w:rPr>
          <w:rFonts w:hint="eastAsia"/>
          <w:szCs w:val="21"/>
          <w:lang w:eastAsia="zh-CN"/>
        </w:rPr>
        <w:t>L</w:t>
      </w:r>
      <w:r>
        <w:rPr>
          <w:szCs w:val="21"/>
        </w:rPr>
        <w:t>内标溶液）到10 m</w:t>
      </w:r>
      <w:r>
        <w:rPr>
          <w:rFonts w:hint="eastAsia"/>
          <w:szCs w:val="21"/>
          <w:lang w:eastAsia="zh-CN"/>
        </w:rPr>
        <w:t>L容量瓶</w:t>
      </w:r>
      <w:r>
        <w:rPr>
          <w:szCs w:val="21"/>
        </w:rPr>
        <w:t>中，并</w:t>
      </w:r>
      <w:r>
        <w:rPr>
          <w:rFonts w:hint="eastAsia"/>
          <w:szCs w:val="21"/>
          <w:lang w:val="en-US" w:eastAsia="zh-CN"/>
        </w:rPr>
        <w:t>加入</w:t>
      </w:r>
      <w:r>
        <w:rPr>
          <w:szCs w:val="21"/>
        </w:rPr>
        <w:t>二氯甲烷</w:t>
      </w:r>
      <w:r>
        <w:rPr>
          <w:rFonts w:hint="eastAsia"/>
          <w:szCs w:val="21"/>
          <w:lang w:eastAsia="zh-CN"/>
        </w:rPr>
        <w:t>定容</w:t>
      </w:r>
      <w:r>
        <w:rPr>
          <w:szCs w:val="21"/>
        </w:rPr>
        <w:t>。</w:t>
      </w:r>
    </w:p>
    <w:p>
      <w:pPr>
        <w:ind w:left="851" w:leftChars="200" w:hanging="431"/>
        <w:rPr>
          <w:szCs w:val="21"/>
        </w:rPr>
      </w:pPr>
      <w:r>
        <w:rPr>
          <w:szCs w:val="21"/>
        </w:rPr>
        <w:t>g）</w:t>
      </w:r>
      <w:r>
        <w:rPr>
          <w:rFonts w:hint="eastAsia"/>
          <w:szCs w:val="21"/>
        </w:rPr>
        <w:tab/>
      </w:r>
      <w:r>
        <w:rPr>
          <w:szCs w:val="21"/>
        </w:rPr>
        <w:t>100 μg/</w:t>
      </w:r>
      <w:r>
        <w:rPr>
          <w:rFonts w:hint="eastAsia"/>
          <w:szCs w:val="21"/>
          <w:lang w:eastAsia="zh-CN"/>
        </w:rPr>
        <w:t>L</w:t>
      </w:r>
      <w:r>
        <w:rPr>
          <w:szCs w:val="21"/>
        </w:rPr>
        <w:t>标准溶液：</w:t>
      </w:r>
    </w:p>
    <w:p>
      <w:pPr>
        <w:ind w:firstLine="420" w:firstLineChars="200"/>
        <w:rPr>
          <w:szCs w:val="21"/>
        </w:rPr>
      </w:pPr>
      <w:r>
        <w:rPr>
          <w:szCs w:val="21"/>
        </w:rPr>
        <w:t>吸取0.1 m</w:t>
      </w:r>
      <w:r>
        <w:rPr>
          <w:rFonts w:hint="eastAsia"/>
          <w:szCs w:val="21"/>
          <w:lang w:eastAsia="zh-CN"/>
        </w:rPr>
        <w:t>L</w:t>
      </w:r>
      <w:r>
        <w:rPr>
          <w:szCs w:val="21"/>
        </w:rPr>
        <w:t>标准溶液（取自10 mg/</w:t>
      </w:r>
      <w:r>
        <w:rPr>
          <w:rFonts w:hint="eastAsia"/>
          <w:szCs w:val="21"/>
          <w:lang w:eastAsia="zh-CN"/>
        </w:rPr>
        <w:t>L</w:t>
      </w:r>
      <w:r>
        <w:rPr>
          <w:szCs w:val="21"/>
        </w:rPr>
        <w:t>标准</w:t>
      </w:r>
      <w:r>
        <w:rPr>
          <w:rFonts w:hint="eastAsia"/>
          <w:szCs w:val="21"/>
          <w:lang w:val="en-US" w:eastAsia="zh-CN"/>
        </w:rPr>
        <w:t>混合</w:t>
      </w:r>
      <w:r>
        <w:rPr>
          <w:szCs w:val="21"/>
        </w:rPr>
        <w:t>溶液）和0.1 m</w:t>
      </w:r>
      <w:r>
        <w:rPr>
          <w:rFonts w:hint="eastAsia"/>
          <w:szCs w:val="21"/>
          <w:lang w:eastAsia="zh-CN"/>
        </w:rPr>
        <w:t>L</w:t>
      </w:r>
      <w:r>
        <w:rPr>
          <w:szCs w:val="21"/>
        </w:rPr>
        <w:t>工作内标溶液（取自5 mg/</w:t>
      </w:r>
      <w:r>
        <w:rPr>
          <w:rFonts w:hint="eastAsia"/>
          <w:szCs w:val="21"/>
          <w:lang w:eastAsia="zh-CN"/>
        </w:rPr>
        <w:t>L</w:t>
      </w:r>
      <w:r>
        <w:rPr>
          <w:szCs w:val="21"/>
        </w:rPr>
        <w:t>内标溶液）到10 m</w:t>
      </w:r>
      <w:r>
        <w:rPr>
          <w:rFonts w:hint="eastAsia"/>
          <w:szCs w:val="21"/>
          <w:lang w:eastAsia="zh-CN"/>
        </w:rPr>
        <w:t>L容量瓶</w:t>
      </w:r>
      <w:r>
        <w:rPr>
          <w:szCs w:val="21"/>
        </w:rPr>
        <w:t>中，并</w:t>
      </w:r>
      <w:r>
        <w:rPr>
          <w:rFonts w:hint="eastAsia"/>
          <w:szCs w:val="21"/>
          <w:lang w:val="en-US" w:eastAsia="zh-CN"/>
        </w:rPr>
        <w:t>加入</w:t>
      </w:r>
      <w:r>
        <w:rPr>
          <w:szCs w:val="21"/>
        </w:rPr>
        <w:t>二氯甲烷</w:t>
      </w:r>
      <w:r>
        <w:rPr>
          <w:rFonts w:hint="eastAsia"/>
          <w:szCs w:val="21"/>
          <w:lang w:eastAsia="zh-CN"/>
        </w:rPr>
        <w:t>定容</w:t>
      </w:r>
      <w:r>
        <w:rPr>
          <w:szCs w:val="21"/>
        </w:rPr>
        <w:t>。</w:t>
      </w:r>
    </w:p>
    <w:p>
      <w:pPr>
        <w:ind w:left="851" w:leftChars="200" w:hanging="431"/>
        <w:rPr>
          <w:szCs w:val="21"/>
        </w:rPr>
      </w:pPr>
      <w:r>
        <w:rPr>
          <w:szCs w:val="21"/>
        </w:rPr>
        <w:t>h）</w:t>
      </w:r>
      <w:r>
        <w:rPr>
          <w:rFonts w:hint="eastAsia"/>
          <w:szCs w:val="21"/>
        </w:rPr>
        <w:tab/>
      </w:r>
      <w:r>
        <w:rPr>
          <w:szCs w:val="21"/>
        </w:rPr>
        <w:t>200 μg/</w:t>
      </w:r>
      <w:r>
        <w:rPr>
          <w:rFonts w:hint="eastAsia"/>
          <w:szCs w:val="21"/>
          <w:lang w:eastAsia="zh-CN"/>
        </w:rPr>
        <w:t>L</w:t>
      </w:r>
      <w:r>
        <w:rPr>
          <w:szCs w:val="21"/>
        </w:rPr>
        <w:t>标准溶液：</w:t>
      </w:r>
    </w:p>
    <w:p>
      <w:pPr>
        <w:ind w:firstLine="420" w:firstLineChars="200"/>
        <w:rPr>
          <w:szCs w:val="21"/>
        </w:rPr>
      </w:pPr>
      <w:r>
        <w:rPr>
          <w:szCs w:val="21"/>
        </w:rPr>
        <w:t>吸取0.2 m</w:t>
      </w:r>
      <w:r>
        <w:rPr>
          <w:rFonts w:hint="eastAsia"/>
          <w:szCs w:val="21"/>
          <w:lang w:eastAsia="zh-CN"/>
        </w:rPr>
        <w:t>L</w:t>
      </w:r>
      <w:r>
        <w:rPr>
          <w:szCs w:val="21"/>
        </w:rPr>
        <w:t>标准溶液（取自10 mg/</w:t>
      </w:r>
      <w:r>
        <w:rPr>
          <w:rFonts w:hint="eastAsia"/>
          <w:szCs w:val="21"/>
          <w:lang w:eastAsia="zh-CN"/>
        </w:rPr>
        <w:t>L</w:t>
      </w:r>
      <w:r>
        <w:rPr>
          <w:szCs w:val="21"/>
        </w:rPr>
        <w:t>标准</w:t>
      </w:r>
      <w:r>
        <w:rPr>
          <w:rFonts w:hint="eastAsia"/>
          <w:szCs w:val="21"/>
          <w:lang w:val="en-US" w:eastAsia="zh-CN"/>
        </w:rPr>
        <w:t>混合</w:t>
      </w:r>
      <w:r>
        <w:rPr>
          <w:szCs w:val="21"/>
        </w:rPr>
        <w:t>溶液）和0.1 m</w:t>
      </w:r>
      <w:r>
        <w:rPr>
          <w:rFonts w:hint="eastAsia"/>
          <w:szCs w:val="21"/>
          <w:lang w:eastAsia="zh-CN"/>
        </w:rPr>
        <w:t>L</w:t>
      </w:r>
      <w:r>
        <w:rPr>
          <w:szCs w:val="21"/>
        </w:rPr>
        <w:t>工作内标溶液（取自5 mg/</w:t>
      </w:r>
      <w:r>
        <w:rPr>
          <w:rFonts w:hint="eastAsia"/>
          <w:szCs w:val="21"/>
          <w:lang w:eastAsia="zh-CN"/>
        </w:rPr>
        <w:t>L</w:t>
      </w:r>
      <w:r>
        <w:rPr>
          <w:szCs w:val="21"/>
        </w:rPr>
        <w:t>内标溶液）到10 m</w:t>
      </w:r>
      <w:r>
        <w:rPr>
          <w:rFonts w:hint="eastAsia"/>
          <w:szCs w:val="21"/>
          <w:lang w:eastAsia="zh-CN"/>
        </w:rPr>
        <w:t>L容量瓶</w:t>
      </w:r>
      <w:r>
        <w:rPr>
          <w:szCs w:val="21"/>
        </w:rPr>
        <w:t>中，并</w:t>
      </w:r>
      <w:r>
        <w:rPr>
          <w:rFonts w:hint="eastAsia"/>
          <w:szCs w:val="21"/>
          <w:lang w:val="en-US" w:eastAsia="zh-CN"/>
        </w:rPr>
        <w:t>加入</w:t>
      </w:r>
      <w:r>
        <w:rPr>
          <w:szCs w:val="21"/>
        </w:rPr>
        <w:t>二氯甲烷</w:t>
      </w:r>
      <w:r>
        <w:rPr>
          <w:rFonts w:hint="eastAsia"/>
          <w:szCs w:val="21"/>
          <w:lang w:eastAsia="zh-CN"/>
        </w:rPr>
        <w:t>定容</w:t>
      </w:r>
      <w:r>
        <w:rPr>
          <w:szCs w:val="21"/>
        </w:rPr>
        <w:t>。</w:t>
      </w:r>
    </w:p>
    <w:p>
      <w:pPr>
        <w:ind w:left="851" w:leftChars="200" w:hanging="431"/>
        <w:rPr>
          <w:szCs w:val="21"/>
        </w:rPr>
      </w:pPr>
      <w:r>
        <w:rPr>
          <w:szCs w:val="21"/>
        </w:rPr>
        <w:t>i）</w:t>
      </w:r>
      <w:r>
        <w:rPr>
          <w:rFonts w:hint="eastAsia"/>
          <w:szCs w:val="21"/>
        </w:rPr>
        <w:tab/>
      </w:r>
      <w:r>
        <w:rPr>
          <w:szCs w:val="21"/>
        </w:rPr>
        <w:t>GC-MS分析用标准溶液（对于高浓度样品）：</w:t>
      </w:r>
    </w:p>
    <w:p>
      <w:pPr>
        <w:ind w:firstLine="420" w:firstLineChars="200"/>
        <w:rPr>
          <w:szCs w:val="21"/>
        </w:rPr>
      </w:pPr>
      <w:r>
        <w:rPr>
          <w:szCs w:val="21"/>
        </w:rPr>
        <w:t>制备高浓度的标准溶液（8.4.3</w:t>
      </w:r>
      <w:r>
        <w:rPr>
          <w:rFonts w:hint="eastAsia"/>
          <w:szCs w:val="21"/>
          <w:lang w:val="en-US" w:eastAsia="zh-CN"/>
        </w:rPr>
        <w:t>.</w:t>
      </w:r>
      <w:r>
        <w:rPr>
          <w:szCs w:val="21"/>
        </w:rPr>
        <w:t xml:space="preserve"> </w:t>
      </w:r>
      <w:r>
        <w:rPr>
          <w:rFonts w:hint="eastAsia"/>
          <w:szCs w:val="21"/>
          <w:lang w:val="en-US" w:eastAsia="zh-CN"/>
        </w:rPr>
        <w:t>j</w:t>
      </w:r>
      <w:r>
        <w:rPr>
          <w:szCs w:val="21"/>
        </w:rPr>
        <w:t xml:space="preserve">）至 8.4.3 </w:t>
      </w:r>
      <w:r>
        <w:rPr>
          <w:rFonts w:hint="eastAsia"/>
          <w:szCs w:val="21"/>
          <w:lang w:val="en-US" w:eastAsia="zh-CN"/>
        </w:rPr>
        <w:t>.n</w:t>
      </w:r>
      <w:r>
        <w:rPr>
          <w:szCs w:val="21"/>
        </w:rPr>
        <w:t>）），用于GC-MS分析，如表4所示。这些标准</w:t>
      </w:r>
      <w:r>
        <w:rPr>
          <w:rFonts w:hint="eastAsia"/>
          <w:szCs w:val="21"/>
          <w:lang w:val="en-US" w:eastAsia="zh-CN"/>
        </w:rPr>
        <w:t>混合</w:t>
      </w:r>
      <w:r>
        <w:rPr>
          <w:szCs w:val="21"/>
        </w:rPr>
        <w:t>溶液各含有18种PAH</w:t>
      </w:r>
      <w:r>
        <w:rPr>
          <w:rFonts w:hint="eastAsia"/>
          <w:szCs w:val="21"/>
          <w:lang w:val="en-US" w:eastAsia="zh-CN"/>
        </w:rPr>
        <w:t>s</w:t>
      </w:r>
      <w:r>
        <w:rPr>
          <w:szCs w:val="21"/>
        </w:rPr>
        <w:t>化合物中的一种，含量</w:t>
      </w:r>
      <w:r>
        <w:rPr>
          <w:rFonts w:hint="eastAsia"/>
          <w:szCs w:val="21"/>
          <w:lang w:val="en-US" w:eastAsia="zh-CN"/>
        </w:rPr>
        <w:t>分别</w:t>
      </w:r>
      <w:r>
        <w:rPr>
          <w:szCs w:val="21"/>
        </w:rPr>
        <w:t>为（0</w:t>
      </w:r>
      <w:r>
        <w:rPr>
          <w:rFonts w:hint="eastAsia"/>
          <w:szCs w:val="21"/>
          <w:lang w:val="en-US" w:eastAsia="zh-CN"/>
        </w:rPr>
        <w:t>.</w:t>
      </w:r>
      <w:r>
        <w:rPr>
          <w:szCs w:val="21"/>
        </w:rPr>
        <w:t>5、1、2、4、10）mg/</w:t>
      </w:r>
      <w:r>
        <w:rPr>
          <w:rFonts w:hint="eastAsia"/>
          <w:szCs w:val="21"/>
          <w:lang w:eastAsia="zh-CN"/>
        </w:rPr>
        <w:t>L</w:t>
      </w:r>
      <w:r>
        <w:rPr>
          <w:szCs w:val="21"/>
        </w:rPr>
        <w:t>。内标物各含有2 mg/</w:t>
      </w:r>
      <w:r>
        <w:rPr>
          <w:rFonts w:hint="eastAsia"/>
          <w:szCs w:val="21"/>
          <w:lang w:eastAsia="zh-CN"/>
        </w:rPr>
        <w:t>L</w:t>
      </w:r>
      <w:r>
        <w:rPr>
          <w:szCs w:val="21"/>
        </w:rPr>
        <w:t>的物质（如萘-d8、蒽-d10 和苯并[a]芘-d12）。</w:t>
      </w:r>
    </w:p>
    <w:p>
      <w:pPr>
        <w:ind w:left="851" w:leftChars="200" w:hanging="431"/>
        <w:rPr>
          <w:szCs w:val="21"/>
        </w:rPr>
      </w:pPr>
      <w:r>
        <w:rPr>
          <w:szCs w:val="21"/>
        </w:rPr>
        <w:t>j）</w:t>
      </w:r>
      <w:r>
        <w:rPr>
          <w:rFonts w:hint="eastAsia"/>
          <w:szCs w:val="21"/>
        </w:rPr>
        <w:tab/>
      </w:r>
      <w:r>
        <w:rPr>
          <w:szCs w:val="21"/>
        </w:rPr>
        <w:t>0.5 mg/</w:t>
      </w:r>
      <w:r>
        <w:rPr>
          <w:rFonts w:hint="eastAsia"/>
          <w:szCs w:val="21"/>
          <w:lang w:eastAsia="zh-CN"/>
        </w:rPr>
        <w:t>L</w:t>
      </w:r>
      <w:r>
        <w:rPr>
          <w:szCs w:val="21"/>
        </w:rPr>
        <w:t>标准溶液：</w:t>
      </w:r>
    </w:p>
    <w:p>
      <w:pPr>
        <w:ind w:firstLine="420" w:firstLineChars="200"/>
        <w:rPr>
          <w:szCs w:val="21"/>
        </w:rPr>
      </w:pPr>
      <w:r>
        <w:rPr>
          <w:szCs w:val="21"/>
        </w:rPr>
        <w:t>吸取0.25 m</w:t>
      </w:r>
      <w:r>
        <w:rPr>
          <w:rFonts w:hint="eastAsia"/>
          <w:szCs w:val="21"/>
          <w:lang w:eastAsia="zh-CN"/>
        </w:rPr>
        <w:t>L</w:t>
      </w:r>
      <w:r>
        <w:rPr>
          <w:szCs w:val="21"/>
        </w:rPr>
        <w:t>标准溶液（取自20 mg/</w:t>
      </w:r>
      <w:r>
        <w:rPr>
          <w:rFonts w:hint="eastAsia"/>
          <w:szCs w:val="21"/>
          <w:lang w:eastAsia="zh-CN"/>
        </w:rPr>
        <w:t>L</w:t>
      </w:r>
      <w:r>
        <w:rPr>
          <w:szCs w:val="21"/>
        </w:rPr>
        <w:t>标准</w:t>
      </w:r>
      <w:r>
        <w:rPr>
          <w:rFonts w:hint="eastAsia"/>
          <w:szCs w:val="21"/>
          <w:lang w:val="en-US" w:eastAsia="zh-CN"/>
        </w:rPr>
        <w:t>混合</w:t>
      </w:r>
      <w:r>
        <w:rPr>
          <w:szCs w:val="21"/>
        </w:rPr>
        <w:t>溶液）和1 m</w:t>
      </w:r>
      <w:r>
        <w:rPr>
          <w:rFonts w:hint="eastAsia"/>
          <w:szCs w:val="21"/>
          <w:lang w:eastAsia="zh-CN"/>
        </w:rPr>
        <w:t>L</w:t>
      </w:r>
      <w:r>
        <w:rPr>
          <w:szCs w:val="21"/>
        </w:rPr>
        <w:t>内标溶液（取自20 mg/</w:t>
      </w:r>
      <w:r>
        <w:rPr>
          <w:rFonts w:hint="eastAsia"/>
          <w:szCs w:val="21"/>
          <w:lang w:eastAsia="zh-CN"/>
        </w:rPr>
        <w:t>L</w:t>
      </w:r>
      <w:r>
        <w:rPr>
          <w:szCs w:val="21"/>
        </w:rPr>
        <w:t>内标溶液）到10 m</w:t>
      </w:r>
      <w:r>
        <w:rPr>
          <w:rFonts w:hint="eastAsia"/>
          <w:szCs w:val="21"/>
          <w:lang w:eastAsia="zh-CN"/>
        </w:rPr>
        <w:t>L容量瓶</w:t>
      </w:r>
      <w:r>
        <w:rPr>
          <w:szCs w:val="21"/>
        </w:rPr>
        <w:t>中，并</w:t>
      </w:r>
      <w:r>
        <w:rPr>
          <w:rFonts w:hint="eastAsia"/>
          <w:szCs w:val="21"/>
          <w:lang w:val="en-US" w:eastAsia="zh-CN"/>
        </w:rPr>
        <w:t>加入</w:t>
      </w:r>
      <w:r>
        <w:rPr>
          <w:szCs w:val="21"/>
        </w:rPr>
        <w:t>二氯甲烷</w:t>
      </w:r>
      <w:r>
        <w:rPr>
          <w:rFonts w:hint="eastAsia"/>
          <w:szCs w:val="21"/>
          <w:lang w:eastAsia="zh-CN"/>
        </w:rPr>
        <w:t>定容</w:t>
      </w:r>
      <w:r>
        <w:rPr>
          <w:szCs w:val="21"/>
        </w:rPr>
        <w:t>。</w:t>
      </w:r>
    </w:p>
    <w:p>
      <w:pPr>
        <w:ind w:left="851" w:leftChars="200" w:hanging="431"/>
        <w:rPr>
          <w:szCs w:val="21"/>
        </w:rPr>
      </w:pPr>
      <w:r>
        <w:rPr>
          <w:szCs w:val="21"/>
        </w:rPr>
        <w:t>k）</w:t>
      </w:r>
      <w:r>
        <w:rPr>
          <w:rFonts w:hint="eastAsia"/>
          <w:szCs w:val="21"/>
        </w:rPr>
        <w:tab/>
      </w:r>
      <w:r>
        <w:rPr>
          <w:szCs w:val="21"/>
        </w:rPr>
        <w:t>1 mg/</w:t>
      </w:r>
      <w:r>
        <w:rPr>
          <w:rFonts w:hint="eastAsia"/>
          <w:szCs w:val="21"/>
          <w:lang w:eastAsia="zh-CN"/>
        </w:rPr>
        <w:t>L</w:t>
      </w:r>
      <w:r>
        <w:rPr>
          <w:szCs w:val="21"/>
        </w:rPr>
        <w:t>标准溶液：</w:t>
      </w:r>
    </w:p>
    <w:p>
      <w:pPr>
        <w:ind w:firstLine="420" w:firstLineChars="200"/>
        <w:rPr>
          <w:szCs w:val="21"/>
        </w:rPr>
      </w:pPr>
      <w:r>
        <w:rPr>
          <w:szCs w:val="21"/>
        </w:rPr>
        <w:t>吸取0.5 m</w:t>
      </w:r>
      <w:r>
        <w:rPr>
          <w:rFonts w:hint="eastAsia"/>
          <w:szCs w:val="21"/>
          <w:lang w:eastAsia="zh-CN"/>
        </w:rPr>
        <w:t>L</w:t>
      </w:r>
      <w:r>
        <w:rPr>
          <w:szCs w:val="21"/>
        </w:rPr>
        <w:t>标准溶液（取自20 mg/</w:t>
      </w:r>
      <w:r>
        <w:rPr>
          <w:rFonts w:hint="eastAsia"/>
          <w:szCs w:val="21"/>
          <w:lang w:eastAsia="zh-CN"/>
        </w:rPr>
        <w:t>L</w:t>
      </w:r>
      <w:r>
        <w:rPr>
          <w:szCs w:val="21"/>
        </w:rPr>
        <w:t>标准</w:t>
      </w:r>
      <w:r>
        <w:rPr>
          <w:rFonts w:hint="eastAsia"/>
          <w:szCs w:val="21"/>
          <w:lang w:val="en-US" w:eastAsia="zh-CN"/>
        </w:rPr>
        <w:t>混合</w:t>
      </w:r>
      <w:r>
        <w:rPr>
          <w:szCs w:val="21"/>
        </w:rPr>
        <w:t>溶液）和1 m</w:t>
      </w:r>
      <w:r>
        <w:rPr>
          <w:rFonts w:hint="eastAsia"/>
          <w:szCs w:val="21"/>
          <w:lang w:eastAsia="zh-CN"/>
        </w:rPr>
        <w:t>L</w:t>
      </w:r>
      <w:r>
        <w:rPr>
          <w:szCs w:val="21"/>
        </w:rPr>
        <w:t>内标溶液（取自20 mg/</w:t>
      </w:r>
      <w:r>
        <w:rPr>
          <w:rFonts w:hint="eastAsia"/>
          <w:szCs w:val="21"/>
          <w:lang w:eastAsia="zh-CN"/>
        </w:rPr>
        <w:t>L</w:t>
      </w:r>
      <w:r>
        <w:rPr>
          <w:szCs w:val="21"/>
        </w:rPr>
        <w:t>内标溶液）到10 m</w:t>
      </w:r>
      <w:r>
        <w:rPr>
          <w:rFonts w:hint="eastAsia"/>
          <w:szCs w:val="21"/>
          <w:lang w:eastAsia="zh-CN"/>
        </w:rPr>
        <w:t>L容量瓶</w:t>
      </w:r>
      <w:r>
        <w:rPr>
          <w:szCs w:val="21"/>
        </w:rPr>
        <w:t>中，并</w:t>
      </w:r>
      <w:r>
        <w:rPr>
          <w:rFonts w:hint="eastAsia"/>
          <w:szCs w:val="21"/>
          <w:lang w:eastAsia="zh-CN"/>
        </w:rPr>
        <w:t>加入</w:t>
      </w:r>
      <w:r>
        <w:rPr>
          <w:szCs w:val="21"/>
        </w:rPr>
        <w:t>二氯甲烷</w:t>
      </w:r>
      <w:r>
        <w:rPr>
          <w:rFonts w:hint="eastAsia"/>
          <w:szCs w:val="21"/>
          <w:lang w:eastAsia="zh-CN"/>
        </w:rPr>
        <w:t>定容</w:t>
      </w:r>
      <w:r>
        <w:rPr>
          <w:szCs w:val="21"/>
        </w:rPr>
        <w:t>。</w:t>
      </w:r>
    </w:p>
    <w:p>
      <w:pPr>
        <w:ind w:left="851" w:leftChars="200" w:hanging="431"/>
        <w:rPr>
          <w:szCs w:val="21"/>
        </w:rPr>
      </w:pPr>
      <w:r>
        <w:rPr>
          <w:rFonts w:hint="eastAsia"/>
          <w:szCs w:val="21"/>
          <w:lang w:eastAsia="zh-CN"/>
        </w:rPr>
        <w:t>L</w:t>
      </w:r>
      <w:r>
        <w:rPr>
          <w:szCs w:val="21"/>
        </w:rPr>
        <w:t>）</w:t>
      </w:r>
      <w:r>
        <w:rPr>
          <w:rFonts w:hint="eastAsia"/>
          <w:szCs w:val="21"/>
        </w:rPr>
        <w:tab/>
      </w:r>
      <w:r>
        <w:rPr>
          <w:szCs w:val="21"/>
        </w:rPr>
        <w:t>2 mg/</w:t>
      </w:r>
      <w:r>
        <w:rPr>
          <w:rFonts w:hint="eastAsia"/>
          <w:szCs w:val="21"/>
          <w:lang w:eastAsia="zh-CN"/>
        </w:rPr>
        <w:t>L</w:t>
      </w:r>
      <w:r>
        <w:rPr>
          <w:szCs w:val="21"/>
        </w:rPr>
        <w:t>标准溶液：</w:t>
      </w:r>
    </w:p>
    <w:p>
      <w:pPr>
        <w:ind w:firstLine="420" w:firstLineChars="200"/>
        <w:rPr>
          <w:szCs w:val="21"/>
        </w:rPr>
      </w:pPr>
      <w:r>
        <w:rPr>
          <w:szCs w:val="21"/>
        </w:rPr>
        <w:t>吸取1 m</w:t>
      </w:r>
      <w:r>
        <w:rPr>
          <w:rFonts w:hint="eastAsia"/>
          <w:szCs w:val="21"/>
          <w:lang w:eastAsia="zh-CN"/>
        </w:rPr>
        <w:t>L</w:t>
      </w:r>
      <w:r>
        <w:rPr>
          <w:szCs w:val="21"/>
        </w:rPr>
        <w:t>标准溶液（取自20 mg/</w:t>
      </w:r>
      <w:r>
        <w:rPr>
          <w:rFonts w:hint="eastAsia"/>
          <w:szCs w:val="21"/>
          <w:lang w:eastAsia="zh-CN"/>
        </w:rPr>
        <w:t>L</w:t>
      </w:r>
      <w:r>
        <w:rPr>
          <w:szCs w:val="21"/>
        </w:rPr>
        <w:t>标准</w:t>
      </w:r>
      <w:r>
        <w:rPr>
          <w:rFonts w:hint="eastAsia"/>
          <w:szCs w:val="21"/>
          <w:lang w:val="en-US" w:eastAsia="zh-CN"/>
        </w:rPr>
        <w:t>混合</w:t>
      </w:r>
      <w:r>
        <w:rPr>
          <w:szCs w:val="21"/>
        </w:rPr>
        <w:t>溶液）和1 m</w:t>
      </w:r>
      <w:r>
        <w:rPr>
          <w:rFonts w:hint="eastAsia"/>
          <w:szCs w:val="21"/>
          <w:lang w:eastAsia="zh-CN"/>
        </w:rPr>
        <w:t>L</w:t>
      </w:r>
      <w:r>
        <w:rPr>
          <w:szCs w:val="21"/>
        </w:rPr>
        <w:t>内标溶液（取自20 mg/</w:t>
      </w:r>
      <w:r>
        <w:rPr>
          <w:rFonts w:hint="eastAsia"/>
          <w:szCs w:val="21"/>
          <w:lang w:eastAsia="zh-CN"/>
        </w:rPr>
        <w:t>L</w:t>
      </w:r>
      <w:r>
        <w:rPr>
          <w:szCs w:val="21"/>
        </w:rPr>
        <w:t>内标溶液）到10 m</w:t>
      </w:r>
      <w:r>
        <w:rPr>
          <w:rFonts w:hint="eastAsia"/>
          <w:szCs w:val="21"/>
          <w:lang w:eastAsia="zh-CN"/>
        </w:rPr>
        <w:t>L容量瓶</w:t>
      </w:r>
      <w:r>
        <w:rPr>
          <w:szCs w:val="21"/>
        </w:rPr>
        <w:t>中，并</w:t>
      </w:r>
      <w:r>
        <w:rPr>
          <w:rFonts w:hint="eastAsia"/>
          <w:szCs w:val="21"/>
          <w:lang w:eastAsia="zh-CN"/>
        </w:rPr>
        <w:t>加入</w:t>
      </w:r>
      <w:r>
        <w:rPr>
          <w:szCs w:val="21"/>
        </w:rPr>
        <w:t>二氯甲烷</w:t>
      </w:r>
      <w:r>
        <w:rPr>
          <w:rFonts w:hint="eastAsia"/>
          <w:szCs w:val="21"/>
          <w:lang w:eastAsia="zh-CN"/>
        </w:rPr>
        <w:t>定容</w:t>
      </w:r>
      <w:r>
        <w:rPr>
          <w:szCs w:val="21"/>
        </w:rPr>
        <w:t>。</w:t>
      </w:r>
    </w:p>
    <w:p>
      <w:pPr>
        <w:ind w:left="851" w:leftChars="200" w:hanging="431"/>
        <w:rPr>
          <w:szCs w:val="21"/>
        </w:rPr>
      </w:pPr>
      <w:r>
        <w:rPr>
          <w:szCs w:val="21"/>
        </w:rPr>
        <w:t>m）</w:t>
      </w:r>
      <w:r>
        <w:rPr>
          <w:rFonts w:hint="eastAsia"/>
          <w:szCs w:val="21"/>
        </w:rPr>
        <w:tab/>
      </w:r>
      <w:r>
        <w:rPr>
          <w:szCs w:val="21"/>
        </w:rPr>
        <w:t>4 mg/</w:t>
      </w:r>
      <w:r>
        <w:rPr>
          <w:rFonts w:hint="eastAsia"/>
          <w:szCs w:val="21"/>
          <w:lang w:eastAsia="zh-CN"/>
        </w:rPr>
        <w:t>L</w:t>
      </w:r>
      <w:r>
        <w:rPr>
          <w:szCs w:val="21"/>
        </w:rPr>
        <w:t>标准溶液：</w:t>
      </w:r>
    </w:p>
    <w:p>
      <w:pPr>
        <w:ind w:firstLine="420" w:firstLineChars="200"/>
        <w:rPr>
          <w:szCs w:val="21"/>
        </w:rPr>
      </w:pPr>
      <w:r>
        <w:rPr>
          <w:szCs w:val="21"/>
        </w:rPr>
        <w:t>吸取2 m</w:t>
      </w:r>
      <w:r>
        <w:rPr>
          <w:rFonts w:hint="eastAsia"/>
          <w:szCs w:val="21"/>
          <w:lang w:eastAsia="zh-CN"/>
        </w:rPr>
        <w:t>L</w:t>
      </w:r>
      <w:r>
        <w:rPr>
          <w:szCs w:val="21"/>
        </w:rPr>
        <w:t>标准溶液（取自20 mg/</w:t>
      </w:r>
      <w:r>
        <w:rPr>
          <w:rFonts w:hint="eastAsia"/>
          <w:szCs w:val="21"/>
          <w:lang w:eastAsia="zh-CN"/>
        </w:rPr>
        <w:t>L</w:t>
      </w:r>
      <w:r>
        <w:rPr>
          <w:szCs w:val="21"/>
        </w:rPr>
        <w:t>标准</w:t>
      </w:r>
      <w:r>
        <w:rPr>
          <w:rFonts w:hint="eastAsia"/>
          <w:szCs w:val="21"/>
          <w:lang w:val="en-US" w:eastAsia="zh-CN"/>
        </w:rPr>
        <w:t>混合</w:t>
      </w:r>
      <w:r>
        <w:rPr>
          <w:szCs w:val="21"/>
        </w:rPr>
        <w:t>溶液）和1 m</w:t>
      </w:r>
      <w:r>
        <w:rPr>
          <w:rFonts w:hint="eastAsia"/>
          <w:szCs w:val="21"/>
          <w:lang w:eastAsia="zh-CN"/>
        </w:rPr>
        <w:t>L</w:t>
      </w:r>
      <w:r>
        <w:rPr>
          <w:szCs w:val="21"/>
        </w:rPr>
        <w:t>内标溶液（取自20 mg/</w:t>
      </w:r>
      <w:r>
        <w:rPr>
          <w:rFonts w:hint="eastAsia"/>
          <w:szCs w:val="21"/>
          <w:lang w:eastAsia="zh-CN"/>
        </w:rPr>
        <w:t>L</w:t>
      </w:r>
      <w:r>
        <w:rPr>
          <w:szCs w:val="21"/>
        </w:rPr>
        <w:t>内标溶液）到10 m</w:t>
      </w:r>
      <w:r>
        <w:rPr>
          <w:rFonts w:hint="eastAsia"/>
          <w:szCs w:val="21"/>
          <w:lang w:eastAsia="zh-CN"/>
        </w:rPr>
        <w:t>L容量瓶</w:t>
      </w:r>
      <w:r>
        <w:rPr>
          <w:szCs w:val="21"/>
        </w:rPr>
        <w:t>中，并</w:t>
      </w:r>
      <w:r>
        <w:rPr>
          <w:rFonts w:hint="eastAsia"/>
          <w:szCs w:val="21"/>
          <w:lang w:eastAsia="zh-CN"/>
        </w:rPr>
        <w:t>加入</w:t>
      </w:r>
      <w:r>
        <w:rPr>
          <w:szCs w:val="21"/>
        </w:rPr>
        <w:t>二氯甲烷</w:t>
      </w:r>
      <w:r>
        <w:rPr>
          <w:rFonts w:hint="eastAsia"/>
          <w:szCs w:val="21"/>
          <w:lang w:eastAsia="zh-CN"/>
        </w:rPr>
        <w:t>定容</w:t>
      </w:r>
      <w:r>
        <w:rPr>
          <w:szCs w:val="21"/>
        </w:rPr>
        <w:t>。</w:t>
      </w:r>
    </w:p>
    <w:p>
      <w:pPr>
        <w:ind w:left="851" w:leftChars="200" w:hanging="431"/>
        <w:rPr>
          <w:szCs w:val="21"/>
        </w:rPr>
      </w:pPr>
      <w:r>
        <w:rPr>
          <w:szCs w:val="21"/>
        </w:rPr>
        <w:t>n）</w:t>
      </w:r>
      <w:r>
        <w:rPr>
          <w:rFonts w:hint="eastAsia"/>
          <w:szCs w:val="21"/>
        </w:rPr>
        <w:tab/>
      </w:r>
      <w:r>
        <w:rPr>
          <w:szCs w:val="21"/>
        </w:rPr>
        <w:t>10 mg/</w:t>
      </w:r>
      <w:r>
        <w:rPr>
          <w:rFonts w:hint="eastAsia"/>
          <w:szCs w:val="21"/>
          <w:lang w:eastAsia="zh-CN"/>
        </w:rPr>
        <w:t>L</w:t>
      </w:r>
      <w:r>
        <w:rPr>
          <w:szCs w:val="21"/>
        </w:rPr>
        <w:t>标准溶液：</w:t>
      </w:r>
    </w:p>
    <w:p>
      <w:pPr>
        <w:ind w:firstLine="420" w:firstLineChars="200"/>
        <w:rPr>
          <w:szCs w:val="21"/>
        </w:rPr>
      </w:pPr>
      <w:r>
        <w:rPr>
          <w:szCs w:val="21"/>
        </w:rPr>
        <w:t>吸取5 m</w:t>
      </w:r>
      <w:r>
        <w:rPr>
          <w:rFonts w:hint="eastAsia"/>
          <w:szCs w:val="21"/>
          <w:lang w:eastAsia="zh-CN"/>
        </w:rPr>
        <w:t>L</w:t>
      </w:r>
      <w:r>
        <w:rPr>
          <w:szCs w:val="21"/>
        </w:rPr>
        <w:t>标准溶液（取自20 mg/</w:t>
      </w:r>
      <w:r>
        <w:rPr>
          <w:rFonts w:hint="eastAsia"/>
          <w:szCs w:val="21"/>
          <w:lang w:eastAsia="zh-CN"/>
        </w:rPr>
        <w:t>L</w:t>
      </w:r>
      <w:r>
        <w:rPr>
          <w:szCs w:val="21"/>
        </w:rPr>
        <w:t>标准</w:t>
      </w:r>
      <w:r>
        <w:rPr>
          <w:rFonts w:hint="eastAsia"/>
          <w:szCs w:val="21"/>
          <w:lang w:val="en-US" w:eastAsia="zh-CN"/>
        </w:rPr>
        <w:t>混合</w:t>
      </w:r>
      <w:r>
        <w:rPr>
          <w:szCs w:val="21"/>
        </w:rPr>
        <w:t>溶液）和1 m</w:t>
      </w:r>
      <w:r>
        <w:rPr>
          <w:rFonts w:hint="eastAsia"/>
          <w:szCs w:val="21"/>
          <w:lang w:eastAsia="zh-CN"/>
        </w:rPr>
        <w:t>L</w:t>
      </w:r>
      <w:r>
        <w:rPr>
          <w:szCs w:val="21"/>
        </w:rPr>
        <w:t>内标溶液（取自20 mg/</w:t>
      </w:r>
      <w:r>
        <w:rPr>
          <w:rFonts w:hint="eastAsia"/>
          <w:szCs w:val="21"/>
          <w:lang w:eastAsia="zh-CN"/>
        </w:rPr>
        <w:t>L</w:t>
      </w:r>
      <w:r>
        <w:rPr>
          <w:szCs w:val="21"/>
        </w:rPr>
        <w:t>内标溶液）到10 m</w:t>
      </w:r>
      <w:r>
        <w:rPr>
          <w:rFonts w:hint="eastAsia"/>
          <w:szCs w:val="21"/>
          <w:lang w:eastAsia="zh-CN"/>
        </w:rPr>
        <w:t>L容量瓶</w:t>
      </w:r>
      <w:r>
        <w:rPr>
          <w:szCs w:val="21"/>
        </w:rPr>
        <w:t>中，并</w:t>
      </w:r>
      <w:r>
        <w:rPr>
          <w:rFonts w:hint="eastAsia"/>
          <w:szCs w:val="21"/>
          <w:lang w:eastAsia="zh-CN"/>
        </w:rPr>
        <w:t>加入</w:t>
      </w:r>
      <w:r>
        <w:rPr>
          <w:szCs w:val="21"/>
        </w:rPr>
        <w:t>二氯甲烷</w:t>
      </w:r>
      <w:r>
        <w:rPr>
          <w:rFonts w:hint="eastAsia"/>
          <w:szCs w:val="21"/>
          <w:lang w:eastAsia="zh-CN"/>
        </w:rPr>
        <w:t>定容</w:t>
      </w:r>
      <w:r>
        <w:rPr>
          <w:szCs w:val="21"/>
        </w:rPr>
        <w:t>。</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8.4.4 内标物</w:t>
      </w:r>
    </w:p>
    <w:p>
      <w:pPr>
        <w:ind w:left="851" w:leftChars="200" w:hanging="431"/>
        <w:rPr>
          <w:szCs w:val="21"/>
        </w:rPr>
      </w:pPr>
      <w:r>
        <w:rPr>
          <w:szCs w:val="21"/>
        </w:rPr>
        <w:t>a）</w:t>
      </w:r>
      <w:r>
        <w:rPr>
          <w:rFonts w:hint="eastAsia"/>
          <w:szCs w:val="21"/>
        </w:rPr>
        <w:tab/>
      </w:r>
      <w:r>
        <w:rPr>
          <w:szCs w:val="21"/>
        </w:rPr>
        <w:t>内标混合溶液：</w:t>
      </w:r>
    </w:p>
    <w:p>
      <w:pPr>
        <w:ind w:firstLine="420" w:firstLineChars="200"/>
        <w:rPr>
          <w:szCs w:val="21"/>
        </w:rPr>
      </w:pPr>
      <w:r>
        <w:rPr>
          <w:szCs w:val="21"/>
        </w:rPr>
        <w:t>若采用GC-MS方法进行分析，则使用萘-d8、蒽-d10和苯并[a]芘-d12作为内标物。</w:t>
      </w:r>
    </w:p>
    <w:p>
      <w:pPr>
        <w:ind w:left="851" w:leftChars="200" w:hanging="431"/>
        <w:rPr>
          <w:szCs w:val="21"/>
        </w:rPr>
      </w:pPr>
      <w:r>
        <w:rPr>
          <w:szCs w:val="21"/>
        </w:rPr>
        <w:t>b）</w:t>
      </w:r>
      <w:r>
        <w:rPr>
          <w:rFonts w:hint="eastAsia"/>
          <w:szCs w:val="21"/>
        </w:rPr>
        <w:tab/>
      </w:r>
      <w:r>
        <w:rPr>
          <w:szCs w:val="21"/>
        </w:rPr>
        <w:t>1 000 mg/</w:t>
      </w:r>
      <w:r>
        <w:rPr>
          <w:rFonts w:hint="eastAsia"/>
          <w:szCs w:val="21"/>
          <w:lang w:eastAsia="zh-CN"/>
        </w:rPr>
        <w:t>L</w:t>
      </w:r>
      <w:r>
        <w:rPr>
          <w:szCs w:val="21"/>
        </w:rPr>
        <w:t>内标混合溶液：</w:t>
      </w:r>
    </w:p>
    <w:p>
      <w:pPr>
        <w:ind w:firstLine="420" w:firstLineChars="200"/>
        <w:rPr>
          <w:szCs w:val="21"/>
        </w:rPr>
      </w:pPr>
      <w:r>
        <w:rPr>
          <w:rFonts w:hint="eastAsia"/>
          <w:szCs w:val="21"/>
          <w:lang w:val="en-US" w:eastAsia="zh-CN"/>
        </w:rPr>
        <w:t>分别</w:t>
      </w:r>
      <w:r>
        <w:rPr>
          <w:szCs w:val="21"/>
        </w:rPr>
        <w:t>将0.1 g（100 mg）的三种内标物（萘-d8、蒽-d10和苯并[a]芘-d12）放入100 m</w:t>
      </w:r>
      <w:r>
        <w:rPr>
          <w:rFonts w:hint="eastAsia"/>
          <w:szCs w:val="21"/>
          <w:lang w:eastAsia="zh-CN"/>
        </w:rPr>
        <w:t>L容量瓶</w:t>
      </w:r>
      <w:r>
        <w:rPr>
          <w:szCs w:val="21"/>
        </w:rPr>
        <w:t>中，并</w:t>
      </w:r>
      <w:r>
        <w:rPr>
          <w:rFonts w:hint="eastAsia"/>
          <w:szCs w:val="21"/>
          <w:lang w:eastAsia="zh-CN"/>
        </w:rPr>
        <w:t>加入</w:t>
      </w:r>
      <w:r>
        <w:rPr>
          <w:szCs w:val="21"/>
        </w:rPr>
        <w:t>二氯甲烷至刻度线。（如有必要，可使用超声波振荡）。</w:t>
      </w:r>
    </w:p>
    <w:p>
      <w:pPr>
        <w:ind w:left="851" w:leftChars="200" w:hanging="431"/>
        <w:rPr>
          <w:szCs w:val="21"/>
        </w:rPr>
      </w:pPr>
      <w:r>
        <w:rPr>
          <w:szCs w:val="21"/>
        </w:rPr>
        <w:t>c）</w:t>
      </w:r>
      <w:r>
        <w:rPr>
          <w:rFonts w:hint="eastAsia"/>
          <w:szCs w:val="21"/>
        </w:rPr>
        <w:tab/>
      </w:r>
      <w:r>
        <w:rPr>
          <w:szCs w:val="21"/>
        </w:rPr>
        <w:t>100 mg/</w:t>
      </w:r>
      <w:r>
        <w:rPr>
          <w:rFonts w:hint="eastAsia"/>
          <w:szCs w:val="21"/>
          <w:lang w:eastAsia="zh-CN"/>
        </w:rPr>
        <w:t>L</w:t>
      </w:r>
      <w:r>
        <w:rPr>
          <w:szCs w:val="21"/>
        </w:rPr>
        <w:t>内标混合溶液：</w:t>
      </w:r>
    </w:p>
    <w:p>
      <w:pPr>
        <w:ind w:firstLine="420" w:firstLineChars="200"/>
        <w:rPr>
          <w:szCs w:val="21"/>
        </w:rPr>
      </w:pPr>
      <w:r>
        <w:rPr>
          <w:szCs w:val="21"/>
        </w:rPr>
        <w:t>从1 000 mg/</w:t>
      </w:r>
      <w:r>
        <w:rPr>
          <w:rFonts w:hint="eastAsia"/>
          <w:szCs w:val="21"/>
          <w:lang w:eastAsia="zh-CN"/>
        </w:rPr>
        <w:t>L</w:t>
      </w:r>
      <w:r>
        <w:rPr>
          <w:szCs w:val="21"/>
        </w:rPr>
        <w:t>内标混合溶液中吸取10 m</w:t>
      </w:r>
      <w:r>
        <w:rPr>
          <w:rFonts w:hint="eastAsia"/>
          <w:szCs w:val="21"/>
          <w:lang w:eastAsia="zh-CN"/>
        </w:rPr>
        <w:t>L</w:t>
      </w:r>
      <w:r>
        <w:rPr>
          <w:szCs w:val="21"/>
        </w:rPr>
        <w:t>溶液到100 m</w:t>
      </w:r>
      <w:r>
        <w:rPr>
          <w:rFonts w:hint="eastAsia"/>
          <w:szCs w:val="21"/>
          <w:lang w:eastAsia="zh-CN"/>
        </w:rPr>
        <w:t>L容量瓶</w:t>
      </w:r>
      <w:r>
        <w:rPr>
          <w:szCs w:val="21"/>
        </w:rPr>
        <w:t>中，并</w:t>
      </w:r>
      <w:r>
        <w:rPr>
          <w:rFonts w:hint="eastAsia"/>
          <w:szCs w:val="21"/>
          <w:lang w:eastAsia="zh-CN"/>
        </w:rPr>
        <w:t>加入</w:t>
      </w:r>
      <w:r>
        <w:rPr>
          <w:szCs w:val="21"/>
        </w:rPr>
        <w:t>二氯甲烷</w:t>
      </w:r>
      <w:r>
        <w:rPr>
          <w:rFonts w:hint="eastAsia"/>
          <w:szCs w:val="21"/>
          <w:lang w:val="en-US" w:eastAsia="zh-CN"/>
        </w:rPr>
        <w:t>定容</w:t>
      </w:r>
      <w:r>
        <w:rPr>
          <w:szCs w:val="21"/>
        </w:rPr>
        <w:t>。</w:t>
      </w:r>
    </w:p>
    <w:p>
      <w:pPr>
        <w:ind w:left="851" w:leftChars="200" w:hanging="431"/>
        <w:rPr>
          <w:szCs w:val="21"/>
        </w:rPr>
      </w:pPr>
      <w:r>
        <w:rPr>
          <w:szCs w:val="21"/>
        </w:rPr>
        <w:t>d）</w:t>
      </w:r>
      <w:r>
        <w:rPr>
          <w:rFonts w:hint="eastAsia"/>
          <w:szCs w:val="21"/>
        </w:rPr>
        <w:tab/>
      </w:r>
      <w:r>
        <w:rPr>
          <w:szCs w:val="21"/>
        </w:rPr>
        <w:t>50 mg/</w:t>
      </w:r>
      <w:r>
        <w:rPr>
          <w:rFonts w:hint="eastAsia"/>
          <w:szCs w:val="21"/>
          <w:lang w:eastAsia="zh-CN"/>
        </w:rPr>
        <w:t>L</w:t>
      </w:r>
      <w:r>
        <w:rPr>
          <w:szCs w:val="21"/>
        </w:rPr>
        <w:t>内标混合溶液：</w:t>
      </w:r>
    </w:p>
    <w:p>
      <w:pPr>
        <w:ind w:firstLine="420" w:firstLineChars="200"/>
        <w:rPr>
          <w:szCs w:val="21"/>
        </w:rPr>
      </w:pPr>
      <w:r>
        <w:rPr>
          <w:szCs w:val="21"/>
        </w:rPr>
        <w:t>从1 000 mg/</w:t>
      </w:r>
      <w:r>
        <w:rPr>
          <w:rFonts w:hint="eastAsia"/>
          <w:szCs w:val="21"/>
          <w:lang w:eastAsia="zh-CN"/>
        </w:rPr>
        <w:t>L</w:t>
      </w:r>
      <w:r>
        <w:rPr>
          <w:szCs w:val="21"/>
        </w:rPr>
        <w:t>内标混合溶液中吸取5 m</w:t>
      </w:r>
      <w:r>
        <w:rPr>
          <w:rFonts w:hint="eastAsia"/>
          <w:szCs w:val="21"/>
          <w:lang w:eastAsia="zh-CN"/>
        </w:rPr>
        <w:t>L</w:t>
      </w:r>
      <w:r>
        <w:rPr>
          <w:szCs w:val="21"/>
        </w:rPr>
        <w:t>溶液到100 m</w:t>
      </w:r>
      <w:r>
        <w:rPr>
          <w:rFonts w:hint="eastAsia"/>
          <w:szCs w:val="21"/>
          <w:lang w:eastAsia="zh-CN"/>
        </w:rPr>
        <w:t>L容量瓶</w:t>
      </w:r>
      <w:r>
        <w:rPr>
          <w:szCs w:val="21"/>
        </w:rPr>
        <w:t>中，并</w:t>
      </w:r>
      <w:r>
        <w:rPr>
          <w:rFonts w:hint="eastAsia"/>
          <w:szCs w:val="21"/>
          <w:lang w:eastAsia="zh-CN"/>
        </w:rPr>
        <w:t>加入</w:t>
      </w:r>
      <w:r>
        <w:rPr>
          <w:szCs w:val="21"/>
        </w:rPr>
        <w:t>二氯甲烷</w:t>
      </w:r>
      <w:r>
        <w:rPr>
          <w:rFonts w:hint="eastAsia"/>
          <w:szCs w:val="21"/>
          <w:lang w:val="en-US" w:eastAsia="zh-CN"/>
        </w:rPr>
        <w:t>定容</w:t>
      </w:r>
      <w:r>
        <w:rPr>
          <w:szCs w:val="21"/>
        </w:rPr>
        <w:t>。</w:t>
      </w:r>
    </w:p>
    <w:p>
      <w:pPr>
        <w:widowControl/>
        <w:spacing w:before="156" w:beforeLines="50" w:after="156" w:afterLines="50"/>
        <w:jc w:val="left"/>
        <w:outlineLvl w:val="4"/>
        <w:rPr>
          <w:rFonts w:hint="eastAsia" w:ascii="黑体" w:hAnsi="黑体" w:eastAsia="黑体"/>
          <w:kern w:val="0"/>
          <w:szCs w:val="21"/>
          <w:lang w:eastAsia="zh-CN"/>
        </w:rPr>
      </w:pPr>
      <w:r>
        <w:rPr>
          <w:rFonts w:ascii="黑体" w:hAnsi="黑体" w:eastAsia="黑体"/>
          <w:kern w:val="0"/>
          <w:szCs w:val="21"/>
        </w:rPr>
        <w:t xml:space="preserve">8.4.5 </w:t>
      </w:r>
      <w:r>
        <w:rPr>
          <w:rFonts w:hint="eastAsia" w:ascii="黑体" w:hAnsi="黑体" w:eastAsia="黑体"/>
          <w:kern w:val="0"/>
          <w:szCs w:val="21"/>
          <w:lang w:eastAsia="zh-CN"/>
        </w:rPr>
        <w:t>标记物</w:t>
      </w:r>
    </w:p>
    <w:p>
      <w:pPr>
        <w:ind w:left="851" w:leftChars="200" w:hanging="431"/>
        <w:rPr>
          <w:szCs w:val="21"/>
        </w:rPr>
      </w:pPr>
      <w:r>
        <w:rPr>
          <w:szCs w:val="21"/>
        </w:rPr>
        <w:t>a）</w:t>
      </w:r>
      <w:r>
        <w:rPr>
          <w:rFonts w:hint="eastAsia"/>
          <w:szCs w:val="21"/>
        </w:rPr>
        <w:tab/>
      </w:r>
      <w:r>
        <w:rPr>
          <w:rFonts w:hint="eastAsia"/>
          <w:szCs w:val="21"/>
          <w:lang w:val="en-US" w:eastAsia="zh-CN"/>
        </w:rPr>
        <w:t>标记物</w:t>
      </w:r>
      <w:r>
        <w:rPr>
          <w:szCs w:val="21"/>
        </w:rPr>
        <w:t>溶液：</w:t>
      </w:r>
    </w:p>
    <w:p>
      <w:pPr>
        <w:ind w:firstLine="420" w:firstLineChars="200"/>
        <w:rPr>
          <w:szCs w:val="21"/>
        </w:rPr>
      </w:pPr>
      <w:r>
        <w:rPr>
          <w:szCs w:val="21"/>
        </w:rPr>
        <w:t>为了监测分析物回收率，使用</w:t>
      </w:r>
      <w:r>
        <w:rPr>
          <w:rFonts w:hint="eastAsia"/>
          <w:szCs w:val="21"/>
          <w:lang w:eastAsia="zh-CN"/>
        </w:rPr>
        <w:t>䓛</w:t>
      </w:r>
      <w:r>
        <w:rPr>
          <w:szCs w:val="21"/>
        </w:rPr>
        <w:t>-d12作为</w:t>
      </w:r>
      <w:r>
        <w:rPr>
          <w:rFonts w:hint="eastAsia"/>
          <w:szCs w:val="21"/>
          <w:lang w:eastAsia="zh-CN"/>
        </w:rPr>
        <w:t>标记物</w:t>
      </w:r>
      <w:r>
        <w:rPr>
          <w:szCs w:val="21"/>
        </w:rPr>
        <w:t>。</w:t>
      </w:r>
    </w:p>
    <w:p>
      <w:pPr>
        <w:ind w:left="851" w:leftChars="200" w:hanging="431"/>
        <w:rPr>
          <w:szCs w:val="21"/>
        </w:rPr>
      </w:pPr>
      <w:r>
        <w:rPr>
          <w:szCs w:val="21"/>
        </w:rPr>
        <w:t>b）</w:t>
      </w:r>
      <w:r>
        <w:rPr>
          <w:rFonts w:hint="eastAsia"/>
          <w:szCs w:val="21"/>
        </w:rPr>
        <w:tab/>
      </w:r>
      <w:r>
        <w:rPr>
          <w:szCs w:val="21"/>
        </w:rPr>
        <w:t>1 000 mg/</w:t>
      </w:r>
      <w:r>
        <w:rPr>
          <w:rFonts w:hint="eastAsia"/>
          <w:szCs w:val="21"/>
          <w:lang w:eastAsia="zh-CN"/>
        </w:rPr>
        <w:t>L</w:t>
      </w:r>
      <w:r>
        <w:rPr>
          <w:rFonts w:hint="eastAsia"/>
          <w:szCs w:val="21"/>
          <w:lang w:val="en-US" w:eastAsia="zh-CN"/>
        </w:rPr>
        <w:t>标记物</w:t>
      </w:r>
      <w:r>
        <w:rPr>
          <w:szCs w:val="21"/>
        </w:rPr>
        <w:t>混合溶液：</w:t>
      </w:r>
    </w:p>
    <w:p>
      <w:pPr>
        <w:ind w:firstLine="420" w:firstLineChars="200"/>
        <w:rPr>
          <w:szCs w:val="21"/>
        </w:rPr>
      </w:pPr>
      <w:r>
        <w:rPr>
          <w:szCs w:val="21"/>
        </w:rPr>
        <w:t>将0.1 g（100 mg）</w:t>
      </w:r>
      <w:r>
        <w:rPr>
          <w:rFonts w:hint="eastAsia"/>
          <w:szCs w:val="21"/>
          <w:lang w:eastAsia="zh-CN"/>
        </w:rPr>
        <w:t>标记物</w:t>
      </w:r>
      <w:r>
        <w:rPr>
          <w:szCs w:val="21"/>
        </w:rPr>
        <w:t>（</w:t>
      </w:r>
      <w:r>
        <w:rPr>
          <w:rFonts w:hint="eastAsia"/>
          <w:szCs w:val="21"/>
          <w:lang w:eastAsia="zh-CN"/>
        </w:rPr>
        <w:t>䓛</w:t>
      </w:r>
      <w:r>
        <w:rPr>
          <w:szCs w:val="21"/>
        </w:rPr>
        <w:t>-d12）置于100 m</w:t>
      </w:r>
      <w:r>
        <w:rPr>
          <w:rFonts w:hint="eastAsia"/>
          <w:szCs w:val="21"/>
          <w:lang w:eastAsia="zh-CN"/>
        </w:rPr>
        <w:t>L</w:t>
      </w:r>
      <w:r>
        <w:rPr>
          <w:szCs w:val="21"/>
        </w:rPr>
        <w:t>烧杯中，并溶解在少量二氯甲烷中（5</w:t>
      </w:r>
      <w:r>
        <w:rPr>
          <w:rFonts w:hint="eastAsia"/>
          <w:szCs w:val="21"/>
          <w:lang w:val="en-US" w:eastAsia="zh-CN"/>
        </w:rPr>
        <w:t>.</w:t>
      </w:r>
      <w:r>
        <w:rPr>
          <w:szCs w:val="21"/>
        </w:rPr>
        <w:t xml:space="preserve"> a）），然后</w:t>
      </w:r>
      <w:r>
        <w:rPr>
          <w:rFonts w:hint="eastAsia"/>
          <w:szCs w:val="21"/>
          <w:lang w:eastAsia="zh-CN"/>
        </w:rPr>
        <w:t>加入</w:t>
      </w:r>
      <w:r>
        <w:rPr>
          <w:szCs w:val="21"/>
        </w:rPr>
        <w:t xml:space="preserve">二氯甲烷（5 </w:t>
      </w:r>
      <w:r>
        <w:rPr>
          <w:rFonts w:hint="eastAsia"/>
          <w:szCs w:val="21"/>
          <w:lang w:val="en-US" w:eastAsia="zh-CN"/>
        </w:rPr>
        <w:t>.</w:t>
      </w:r>
      <w:r>
        <w:rPr>
          <w:szCs w:val="21"/>
        </w:rPr>
        <w:t>a））至100 m</w:t>
      </w:r>
      <w:r>
        <w:rPr>
          <w:rFonts w:hint="eastAsia"/>
          <w:szCs w:val="21"/>
          <w:lang w:eastAsia="zh-CN"/>
        </w:rPr>
        <w:t>L容量瓶</w:t>
      </w:r>
      <w:r>
        <w:rPr>
          <w:rFonts w:hint="eastAsia"/>
          <w:szCs w:val="21"/>
          <w:lang w:val="en-US" w:eastAsia="zh-CN"/>
        </w:rPr>
        <w:t>定容</w:t>
      </w:r>
      <w:r>
        <w:rPr>
          <w:szCs w:val="21"/>
        </w:rPr>
        <w:t>。（如有必要，可使用超声波提取）。</w:t>
      </w:r>
    </w:p>
    <w:p>
      <w:pPr>
        <w:ind w:left="851" w:leftChars="200" w:hanging="431"/>
        <w:rPr>
          <w:szCs w:val="21"/>
        </w:rPr>
      </w:pPr>
      <w:r>
        <w:rPr>
          <w:szCs w:val="21"/>
        </w:rPr>
        <w:t>c）</w:t>
      </w:r>
      <w:r>
        <w:rPr>
          <w:rFonts w:hint="eastAsia"/>
          <w:szCs w:val="21"/>
        </w:rPr>
        <w:tab/>
      </w:r>
      <w:r>
        <w:rPr>
          <w:szCs w:val="21"/>
        </w:rPr>
        <w:t>100 mg/</w:t>
      </w:r>
      <w:r>
        <w:rPr>
          <w:rFonts w:hint="eastAsia"/>
          <w:szCs w:val="21"/>
          <w:lang w:eastAsia="zh-CN"/>
        </w:rPr>
        <w:t>L标记物溶液</w:t>
      </w:r>
      <w:r>
        <w:rPr>
          <w:szCs w:val="21"/>
        </w:rPr>
        <w:t>：</w:t>
      </w:r>
    </w:p>
    <w:p>
      <w:pPr>
        <w:ind w:firstLine="420" w:firstLineChars="200"/>
        <w:rPr>
          <w:szCs w:val="21"/>
        </w:rPr>
      </w:pPr>
      <w:r>
        <w:rPr>
          <w:szCs w:val="21"/>
        </w:rPr>
        <w:t>从1000mg/</w:t>
      </w:r>
      <w:r>
        <w:rPr>
          <w:rFonts w:hint="eastAsia"/>
          <w:szCs w:val="21"/>
          <w:lang w:eastAsia="zh-CN"/>
        </w:rPr>
        <w:t>L</w:t>
      </w:r>
      <w:r>
        <w:rPr>
          <w:rFonts w:hint="eastAsia"/>
          <w:szCs w:val="21"/>
          <w:lang w:val="en-US" w:eastAsia="zh-CN"/>
        </w:rPr>
        <w:t>标记物混合</w:t>
      </w:r>
      <w:r>
        <w:rPr>
          <w:szCs w:val="21"/>
        </w:rPr>
        <w:t>溶液（8.4.5 b））中取10m</w:t>
      </w:r>
      <w:r>
        <w:rPr>
          <w:rFonts w:hint="eastAsia"/>
          <w:szCs w:val="21"/>
          <w:lang w:eastAsia="zh-CN"/>
        </w:rPr>
        <w:t>L</w:t>
      </w:r>
      <w:r>
        <w:rPr>
          <w:szCs w:val="21"/>
        </w:rPr>
        <w:t>溶液到100m</w:t>
      </w:r>
      <w:r>
        <w:rPr>
          <w:rFonts w:hint="eastAsia"/>
          <w:szCs w:val="21"/>
          <w:lang w:eastAsia="zh-CN"/>
        </w:rPr>
        <w:t>L容量瓶</w:t>
      </w:r>
      <w:r>
        <w:rPr>
          <w:szCs w:val="21"/>
        </w:rPr>
        <w:t>中进行测量，然后</w:t>
      </w:r>
      <w:r>
        <w:rPr>
          <w:rFonts w:hint="eastAsia"/>
          <w:szCs w:val="21"/>
          <w:lang w:eastAsia="zh-CN"/>
        </w:rPr>
        <w:t>加入</w:t>
      </w:r>
      <w:r>
        <w:rPr>
          <w:szCs w:val="21"/>
        </w:rPr>
        <w:t xml:space="preserve">二氯甲烷（5 </w:t>
      </w:r>
      <w:r>
        <w:rPr>
          <w:rFonts w:hint="eastAsia"/>
          <w:szCs w:val="21"/>
          <w:lang w:val="en-US" w:eastAsia="zh-CN"/>
        </w:rPr>
        <w:t>.</w:t>
      </w:r>
      <w:r>
        <w:rPr>
          <w:szCs w:val="21"/>
        </w:rPr>
        <w:t>a））</w:t>
      </w:r>
      <w:r>
        <w:rPr>
          <w:rFonts w:hint="eastAsia"/>
          <w:szCs w:val="21"/>
          <w:lang w:val="en-US" w:eastAsia="zh-CN"/>
        </w:rPr>
        <w:t>定容</w:t>
      </w:r>
      <w:r>
        <w:rPr>
          <w:szCs w:val="21"/>
        </w:rPr>
        <w:t>。</w:t>
      </w:r>
    </w:p>
    <w:p>
      <w:pPr>
        <w:ind w:left="851" w:leftChars="200" w:hanging="431"/>
        <w:rPr>
          <w:szCs w:val="21"/>
        </w:rPr>
      </w:pPr>
      <w:r>
        <w:rPr>
          <w:szCs w:val="21"/>
        </w:rPr>
        <w:t>d）</w:t>
      </w:r>
      <w:r>
        <w:rPr>
          <w:rFonts w:hint="eastAsia"/>
          <w:szCs w:val="21"/>
        </w:rPr>
        <w:tab/>
      </w:r>
      <w:r>
        <w:rPr>
          <w:szCs w:val="21"/>
        </w:rPr>
        <w:t>50 mg/</w:t>
      </w:r>
      <w:r>
        <w:rPr>
          <w:rFonts w:hint="eastAsia"/>
          <w:szCs w:val="21"/>
          <w:lang w:eastAsia="zh-CN"/>
        </w:rPr>
        <w:t>L标记物溶液</w:t>
      </w:r>
      <w:r>
        <w:rPr>
          <w:szCs w:val="21"/>
        </w:rPr>
        <w:t>：</w:t>
      </w:r>
    </w:p>
    <w:p>
      <w:pPr>
        <w:ind w:firstLine="420" w:firstLineChars="200"/>
        <w:rPr>
          <w:szCs w:val="21"/>
        </w:rPr>
      </w:pPr>
      <w:r>
        <w:rPr>
          <w:szCs w:val="21"/>
        </w:rPr>
        <w:t>从1000mg/</w:t>
      </w:r>
      <w:r>
        <w:rPr>
          <w:rFonts w:hint="eastAsia"/>
          <w:szCs w:val="21"/>
          <w:lang w:eastAsia="zh-CN"/>
        </w:rPr>
        <w:t>L</w:t>
      </w:r>
      <w:r>
        <w:rPr>
          <w:rFonts w:hint="eastAsia"/>
          <w:szCs w:val="21"/>
          <w:lang w:val="en-US" w:eastAsia="zh-CN"/>
        </w:rPr>
        <w:t>标记物混合</w:t>
      </w:r>
      <w:r>
        <w:rPr>
          <w:szCs w:val="21"/>
        </w:rPr>
        <w:t xml:space="preserve">溶液（8.4.5 </w:t>
      </w:r>
      <w:r>
        <w:rPr>
          <w:rFonts w:hint="eastAsia"/>
          <w:szCs w:val="21"/>
          <w:lang w:val="en-US" w:eastAsia="zh-CN"/>
        </w:rPr>
        <w:t>.</w:t>
      </w:r>
      <w:r>
        <w:rPr>
          <w:szCs w:val="21"/>
        </w:rPr>
        <w:t>b））中取5m</w:t>
      </w:r>
      <w:r>
        <w:rPr>
          <w:rFonts w:hint="eastAsia"/>
          <w:szCs w:val="21"/>
          <w:lang w:eastAsia="zh-CN"/>
        </w:rPr>
        <w:t>L</w:t>
      </w:r>
      <w:r>
        <w:rPr>
          <w:szCs w:val="21"/>
        </w:rPr>
        <w:t>溶液到100m</w:t>
      </w:r>
      <w:r>
        <w:rPr>
          <w:rFonts w:hint="eastAsia"/>
          <w:szCs w:val="21"/>
          <w:lang w:eastAsia="zh-CN"/>
        </w:rPr>
        <w:t>L容量瓶</w:t>
      </w:r>
      <w:r>
        <w:rPr>
          <w:szCs w:val="21"/>
        </w:rPr>
        <w:t>中进行测量，然后</w:t>
      </w:r>
      <w:r>
        <w:rPr>
          <w:rFonts w:hint="eastAsia"/>
          <w:szCs w:val="21"/>
          <w:lang w:eastAsia="zh-CN"/>
        </w:rPr>
        <w:t>加入</w:t>
      </w:r>
      <w:r>
        <w:rPr>
          <w:szCs w:val="21"/>
        </w:rPr>
        <w:t>二氯甲烷（5 a））</w:t>
      </w:r>
      <w:r>
        <w:rPr>
          <w:rFonts w:hint="eastAsia"/>
          <w:szCs w:val="21"/>
          <w:lang w:val="en-US" w:eastAsia="zh-CN"/>
        </w:rPr>
        <w:t>定容</w:t>
      </w:r>
      <w:r>
        <w:rPr>
          <w:szCs w:val="21"/>
        </w:rPr>
        <w:t>。</w:t>
      </w:r>
    </w:p>
    <w:p>
      <w:pPr>
        <w:pStyle w:val="47"/>
      </w:pPr>
      <w:r>
        <w:t>8.5 校准</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8.5.1 总述</w:t>
      </w:r>
    </w:p>
    <w:p>
      <w:pPr>
        <w:ind w:firstLine="420" w:firstLineChars="200"/>
        <w:rPr>
          <w:rFonts w:hint="eastAsia" w:eastAsia="宋体"/>
          <w:szCs w:val="21"/>
          <w:lang w:val="en-US" w:eastAsia="zh-CN"/>
        </w:rPr>
      </w:pPr>
      <w:r>
        <w:rPr>
          <w:szCs w:val="21"/>
        </w:rPr>
        <w:t>在可能的情况下，样品和标准溶液应</w:t>
      </w:r>
      <w:r>
        <w:rPr>
          <w:rFonts w:hint="eastAsia"/>
          <w:szCs w:val="21"/>
          <w:lang w:val="en-US" w:eastAsia="zh-CN"/>
        </w:rPr>
        <w:t>使用</w:t>
      </w:r>
      <w:r>
        <w:rPr>
          <w:szCs w:val="21"/>
        </w:rPr>
        <w:t>相同溶剂，以避免发生任何</w:t>
      </w:r>
      <w:r>
        <w:rPr>
          <w:rFonts w:hint="eastAsia"/>
          <w:szCs w:val="21"/>
          <w:lang w:val="en-US" w:eastAsia="zh-CN"/>
        </w:rPr>
        <w:t>潜在</w:t>
      </w:r>
      <w:r>
        <w:rPr>
          <w:szCs w:val="21"/>
        </w:rPr>
        <w:t>的溶剂效应。应针对定量分析制定校准曲线。至少</w:t>
      </w:r>
      <w:r>
        <w:rPr>
          <w:rFonts w:hint="eastAsia"/>
          <w:szCs w:val="21"/>
        </w:rPr>
        <w:t>配制5个等间距梯度的</w:t>
      </w:r>
      <w:r>
        <w:rPr>
          <w:szCs w:val="21"/>
        </w:rPr>
        <w:t>校准溶液。</w:t>
      </w:r>
      <w:r>
        <w:rPr>
          <w:rFonts w:hint="eastAsia"/>
          <w:szCs w:val="21"/>
          <w:lang w:val="en-US" w:eastAsia="zh-CN"/>
        </w:rPr>
        <w:t>通过</w:t>
      </w:r>
      <w:r>
        <w:rPr>
          <w:szCs w:val="21"/>
        </w:rPr>
        <w:t>从GC色谱图中获取的指定峰面积</w:t>
      </w:r>
      <w:r>
        <w:rPr>
          <w:rFonts w:hint="eastAsia"/>
          <w:szCs w:val="21"/>
          <w:lang w:val="en-US" w:eastAsia="zh-CN"/>
        </w:rPr>
        <w:t>来进行</w:t>
      </w:r>
      <w:r>
        <w:rPr>
          <w:szCs w:val="21"/>
        </w:rPr>
        <w:t>定量</w:t>
      </w:r>
      <w:r>
        <w:rPr>
          <w:rFonts w:hint="eastAsia"/>
          <w:szCs w:val="21"/>
          <w:lang w:val="en-US" w:eastAsia="zh-CN"/>
        </w:rPr>
        <w:t>分析</w:t>
      </w:r>
      <w:r>
        <w:rPr>
          <w:szCs w:val="21"/>
        </w:rPr>
        <w:t>。每条校准曲线的线性回归拟合的相对标准偏差（RSD）</w:t>
      </w:r>
      <w:r>
        <w:rPr>
          <w:rFonts w:hint="eastAsia"/>
          <w:szCs w:val="21"/>
          <w:lang w:val="en-US" w:eastAsia="zh-CN"/>
        </w:rPr>
        <w:t>宜</w:t>
      </w:r>
      <w:r>
        <w:rPr>
          <w:szCs w:val="21"/>
        </w:rPr>
        <w:t>小于或等于线性校准函数的</w:t>
      </w:r>
      <w:r>
        <w:rPr>
          <w:rFonts w:hint="eastAsia"/>
          <w:szCs w:val="21"/>
        </w:rPr>
        <w:t>15 %</w:t>
      </w:r>
      <w:r>
        <w:rPr>
          <w:szCs w:val="21"/>
        </w:rPr>
        <w:t>。</w:t>
      </w:r>
    </w:p>
    <w:p>
      <w:pPr>
        <w:shd w:val="clear"/>
        <w:ind w:firstLine="360" w:firstLineChars="200"/>
        <w:rPr>
          <w:szCs w:val="21"/>
        </w:rPr>
      </w:pPr>
      <w:r>
        <w:rPr>
          <w:rFonts w:hint="eastAsia" w:ascii="黑体" w:hAnsi="黑体" w:eastAsia="黑体" w:cs="黑体"/>
          <w:sz w:val="18"/>
          <w:szCs w:val="18"/>
          <w:shd w:val="clear"/>
        </w:rPr>
        <w:t>注：</w:t>
      </w:r>
      <w:r>
        <w:rPr>
          <w:sz w:val="18"/>
          <w:szCs w:val="18"/>
          <w:shd w:val="clear"/>
        </w:rPr>
        <w:t>如果RSD超过了</w:t>
      </w:r>
      <w:r>
        <w:rPr>
          <w:rFonts w:hint="eastAsia"/>
          <w:sz w:val="18"/>
          <w:szCs w:val="18"/>
          <w:shd w:val="clear"/>
          <w:lang w:val="en-US" w:eastAsia="zh-CN"/>
        </w:rPr>
        <w:t>的</w:t>
      </w:r>
      <w:r>
        <w:rPr>
          <w:rFonts w:hint="eastAsia"/>
          <w:sz w:val="18"/>
          <w:szCs w:val="18"/>
          <w:shd w:val="clear"/>
        </w:rPr>
        <w:t>15 %</w:t>
      </w:r>
      <w:r>
        <w:rPr>
          <w:sz w:val="18"/>
          <w:szCs w:val="18"/>
          <w:shd w:val="clear"/>
        </w:rPr>
        <w:t>的限值，</w:t>
      </w:r>
      <w:r>
        <w:rPr>
          <w:sz w:val="18"/>
          <w:szCs w:val="18"/>
        </w:rPr>
        <w:t>从质量</w:t>
      </w:r>
      <w:r>
        <w:rPr>
          <w:rFonts w:hint="eastAsia"/>
          <w:sz w:val="18"/>
          <w:szCs w:val="18"/>
          <w:lang w:val="en-US" w:eastAsia="zh-CN"/>
        </w:rPr>
        <w:t>控制</w:t>
      </w:r>
      <w:r>
        <w:rPr>
          <w:sz w:val="18"/>
          <w:szCs w:val="18"/>
        </w:rPr>
        <w:t>的角度来看，二阶曲线拟合并不保证能做出明显</w:t>
      </w:r>
      <w:r>
        <w:rPr>
          <w:rFonts w:hint="eastAsia"/>
          <w:sz w:val="18"/>
          <w:szCs w:val="18"/>
          <w:lang w:val="en-US" w:eastAsia="zh-CN"/>
        </w:rPr>
        <w:t>改善</w:t>
      </w:r>
      <w:r>
        <w:rPr>
          <w:sz w:val="18"/>
          <w:szCs w:val="18"/>
        </w:rPr>
        <w:t>。只有诸如F检验这样通过比较线性或</w:t>
      </w:r>
      <w:r>
        <w:rPr>
          <w:rFonts w:hint="eastAsia"/>
          <w:sz w:val="18"/>
          <w:szCs w:val="18"/>
          <w:lang w:val="en-US" w:eastAsia="zh-CN"/>
        </w:rPr>
        <w:t>二次拟合</w:t>
      </w:r>
      <w:r>
        <w:rPr>
          <w:sz w:val="18"/>
          <w:szCs w:val="18"/>
        </w:rPr>
        <w:t>的统计检验来</w:t>
      </w:r>
      <w:r>
        <w:rPr>
          <w:rFonts w:hint="eastAsia"/>
          <w:sz w:val="18"/>
          <w:szCs w:val="18"/>
          <w:lang w:val="en-US" w:eastAsia="zh-CN"/>
        </w:rPr>
        <w:t>验证</w:t>
      </w:r>
      <w:r>
        <w:rPr>
          <w:sz w:val="18"/>
          <w:szCs w:val="18"/>
        </w:rPr>
        <w:t>。这表明尽管RSD超</w:t>
      </w:r>
      <w:r>
        <w:rPr>
          <w:rFonts w:hint="eastAsia"/>
          <w:sz w:val="18"/>
          <w:szCs w:val="18"/>
          <w:lang w:val="en-US" w:eastAsia="zh-CN"/>
        </w:rPr>
        <w:t>出限值</w:t>
      </w:r>
      <w:r>
        <w:rPr>
          <w:sz w:val="18"/>
          <w:szCs w:val="18"/>
        </w:rPr>
        <w:t>，校准</w:t>
      </w:r>
      <w:r>
        <w:rPr>
          <w:rFonts w:hint="eastAsia"/>
          <w:sz w:val="18"/>
          <w:szCs w:val="18"/>
          <w:lang w:val="en-US" w:eastAsia="zh-CN"/>
        </w:rPr>
        <w:t>曲线</w:t>
      </w:r>
      <w:r>
        <w:rPr>
          <w:sz w:val="18"/>
          <w:szCs w:val="18"/>
        </w:rPr>
        <w:t>仍保持线性。</w:t>
      </w:r>
    </w:p>
    <w:p>
      <w:pPr>
        <w:widowControl/>
        <w:spacing w:before="156" w:beforeLines="50" w:after="156" w:afterLines="50"/>
        <w:jc w:val="left"/>
        <w:outlineLvl w:val="4"/>
        <w:rPr>
          <w:rFonts w:ascii="黑体" w:hAnsi="黑体" w:eastAsia="黑体"/>
          <w:kern w:val="0"/>
          <w:szCs w:val="21"/>
        </w:rPr>
      </w:pPr>
      <w:r>
        <w:rPr>
          <w:rFonts w:ascii="黑体" w:hAnsi="黑体" w:eastAsia="黑体"/>
          <w:kern w:val="0"/>
          <w:szCs w:val="21"/>
        </w:rPr>
        <w:t>8.5.2 PAH</w:t>
      </w:r>
      <w:r>
        <w:rPr>
          <w:rFonts w:hint="eastAsia" w:ascii="黑体" w:hAnsi="黑体" w:eastAsia="黑体"/>
          <w:kern w:val="0"/>
          <w:szCs w:val="21"/>
          <w:lang w:val="en-US" w:eastAsia="zh-CN"/>
        </w:rPr>
        <w:t>s</w:t>
      </w:r>
      <w:r>
        <w:rPr>
          <w:rFonts w:ascii="黑体" w:hAnsi="黑体" w:eastAsia="黑体"/>
          <w:kern w:val="0"/>
          <w:szCs w:val="21"/>
        </w:rPr>
        <w:t>的标准溶液</w:t>
      </w:r>
    </w:p>
    <w:p>
      <w:pPr>
        <w:ind w:firstLine="420" w:firstLineChars="200"/>
        <w:rPr>
          <w:szCs w:val="21"/>
        </w:rPr>
      </w:pPr>
      <w:r>
        <w:rPr>
          <w:szCs w:val="21"/>
        </w:rPr>
        <w:t>制备PAH</w:t>
      </w:r>
      <w:r>
        <w:rPr>
          <w:rFonts w:hint="eastAsia"/>
          <w:szCs w:val="21"/>
          <w:lang w:val="en-US" w:eastAsia="zh-CN"/>
        </w:rPr>
        <w:t>s</w:t>
      </w:r>
      <w:r>
        <w:rPr>
          <w:szCs w:val="21"/>
        </w:rPr>
        <w:t>标准溶液（</w:t>
      </w:r>
      <w:r>
        <w:rPr>
          <w:rFonts w:hint="eastAsia"/>
          <w:szCs w:val="21"/>
          <w:lang w:val="en-US" w:eastAsia="zh-CN"/>
        </w:rPr>
        <w:t>对</w:t>
      </w:r>
      <w:r>
        <w:rPr>
          <w:szCs w:val="21"/>
        </w:rPr>
        <w:t>高浓度样品</w:t>
      </w:r>
      <w:r>
        <w:rPr>
          <w:rFonts w:hint="eastAsia"/>
          <w:szCs w:val="21"/>
          <w:lang w:val="en-US" w:eastAsia="zh-CN"/>
        </w:rPr>
        <w:t>，浓度</w:t>
      </w:r>
      <w:r>
        <w:rPr>
          <w:szCs w:val="21"/>
        </w:rPr>
        <w:t>为每种化</w:t>
      </w:r>
      <w:r>
        <w:rPr>
          <w:rFonts w:hint="eastAsia"/>
          <w:szCs w:val="21"/>
          <w:lang w:val="en-US" w:eastAsia="zh-CN"/>
        </w:rPr>
        <w:t>合物</w:t>
      </w:r>
      <w:r>
        <w:rPr>
          <w:szCs w:val="21"/>
        </w:rPr>
        <w:t>20 μg/m</w:t>
      </w:r>
      <w:r>
        <w:rPr>
          <w:rFonts w:hint="eastAsia"/>
          <w:szCs w:val="21"/>
          <w:lang w:val="en-US" w:eastAsia="zh-CN"/>
        </w:rPr>
        <w:t>L;对</w:t>
      </w:r>
      <w:r>
        <w:rPr>
          <w:szCs w:val="21"/>
        </w:rPr>
        <w:t>低浓度样品</w:t>
      </w:r>
      <w:r>
        <w:rPr>
          <w:rFonts w:hint="eastAsia"/>
          <w:szCs w:val="21"/>
          <w:lang w:val="en-US" w:eastAsia="zh-CN"/>
        </w:rPr>
        <w:t>，浓度</w:t>
      </w:r>
      <w:r>
        <w:rPr>
          <w:szCs w:val="21"/>
        </w:rPr>
        <w:t>为每种</w:t>
      </w:r>
      <w:r>
        <w:rPr>
          <w:rFonts w:hint="eastAsia"/>
          <w:szCs w:val="21"/>
          <w:lang w:val="en-US" w:eastAsia="zh-CN"/>
        </w:rPr>
        <w:t>化合物</w:t>
      </w:r>
      <w:r>
        <w:rPr>
          <w:szCs w:val="21"/>
        </w:rPr>
        <w:t>10 μg/m</w:t>
      </w:r>
      <w:r>
        <w:rPr>
          <w:rFonts w:hint="eastAsia"/>
          <w:szCs w:val="21"/>
          <w:lang w:val="en-US" w:eastAsia="zh-CN"/>
        </w:rPr>
        <w:t>L</w:t>
      </w:r>
      <w:r>
        <w:rPr>
          <w:szCs w:val="21"/>
        </w:rPr>
        <w:t>）和</w:t>
      </w:r>
      <w:r>
        <w:rPr>
          <w:rFonts w:hint="eastAsia"/>
          <w:szCs w:val="21"/>
          <w:lang w:val="en-US" w:eastAsia="zh-CN"/>
        </w:rPr>
        <w:t>标记物溶液</w:t>
      </w:r>
      <w:r>
        <w:rPr>
          <w:szCs w:val="21"/>
        </w:rPr>
        <w:t>（</w:t>
      </w:r>
      <w:r>
        <w:rPr>
          <w:rFonts w:hint="eastAsia"/>
          <w:szCs w:val="21"/>
          <w:lang w:val="en-US" w:eastAsia="zh-CN"/>
        </w:rPr>
        <w:t>对</w:t>
      </w:r>
      <w:r>
        <w:rPr>
          <w:szCs w:val="21"/>
        </w:rPr>
        <w:t>高浓度样品</w:t>
      </w:r>
      <w:r>
        <w:rPr>
          <w:rFonts w:hint="eastAsia"/>
          <w:szCs w:val="21"/>
          <w:lang w:val="en-US" w:eastAsia="zh-CN"/>
        </w:rPr>
        <w:t>，浓度</w:t>
      </w:r>
      <w:r>
        <w:rPr>
          <w:szCs w:val="21"/>
        </w:rPr>
        <w:t>为20 μg/m</w:t>
      </w:r>
      <w:r>
        <w:rPr>
          <w:rFonts w:hint="eastAsia"/>
          <w:szCs w:val="21"/>
          <w:lang w:val="en-US" w:eastAsia="zh-CN"/>
        </w:rPr>
        <w:t>L;对</w:t>
      </w:r>
      <w:r>
        <w:rPr>
          <w:szCs w:val="21"/>
        </w:rPr>
        <w:t>低浓度样品</w:t>
      </w:r>
      <w:r>
        <w:rPr>
          <w:rFonts w:hint="eastAsia"/>
          <w:szCs w:val="21"/>
          <w:lang w:val="en-US" w:eastAsia="zh-CN"/>
        </w:rPr>
        <w:t>，浓度</w:t>
      </w:r>
      <w:r>
        <w:rPr>
          <w:szCs w:val="21"/>
        </w:rPr>
        <w:t>为5 μg/m</w:t>
      </w:r>
      <w:r>
        <w:rPr>
          <w:rFonts w:hint="eastAsia"/>
          <w:szCs w:val="21"/>
          <w:lang w:val="en-US" w:eastAsia="zh-CN"/>
        </w:rPr>
        <w:t>L</w:t>
      </w:r>
      <w:r>
        <w:rPr>
          <w:szCs w:val="21"/>
        </w:rPr>
        <w:t>）。</w:t>
      </w:r>
    </w:p>
    <w:p>
      <w:pPr>
        <w:ind w:firstLine="420" w:firstLineChars="200"/>
        <w:rPr>
          <w:szCs w:val="21"/>
        </w:rPr>
      </w:pPr>
      <w:r>
        <w:rPr>
          <w:szCs w:val="21"/>
        </w:rPr>
        <w:t>对于PAH</w:t>
      </w:r>
      <w:r>
        <w:rPr>
          <w:rFonts w:hint="eastAsia"/>
          <w:szCs w:val="21"/>
          <w:lang w:val="en-US" w:eastAsia="zh-CN"/>
        </w:rPr>
        <w:t>s</w:t>
      </w:r>
      <w:r>
        <w:rPr>
          <w:szCs w:val="21"/>
        </w:rPr>
        <w:t>，表3和表4中建议的校准范围</w:t>
      </w:r>
      <w:r>
        <w:rPr>
          <w:rFonts w:hint="eastAsia"/>
          <w:szCs w:val="21"/>
          <w:lang w:val="en-US" w:eastAsia="zh-CN"/>
        </w:rPr>
        <w:t>可作调整</w:t>
      </w:r>
      <w:r>
        <w:rPr>
          <w:szCs w:val="21"/>
        </w:rPr>
        <w:t>。在制定PAH</w:t>
      </w:r>
      <w:r>
        <w:rPr>
          <w:rFonts w:hint="eastAsia"/>
          <w:szCs w:val="21"/>
          <w:lang w:val="en-US" w:eastAsia="zh-CN"/>
        </w:rPr>
        <w:t>s</w:t>
      </w:r>
      <w:r>
        <w:rPr>
          <w:szCs w:val="21"/>
        </w:rPr>
        <w:t>的校准曲线时，根据仪器的灵敏度设置下限。</w:t>
      </w:r>
      <w:r>
        <w:rPr>
          <w:rFonts w:hint="eastAsia"/>
          <w:szCs w:val="21"/>
          <w:lang w:val="en-US" w:eastAsia="zh-CN"/>
        </w:rPr>
        <w:t>校准</w:t>
      </w:r>
      <w:r>
        <w:rPr>
          <w:szCs w:val="21"/>
        </w:rPr>
        <w:t>上限可</w:t>
      </w:r>
      <w:r>
        <w:rPr>
          <w:rFonts w:hint="eastAsia"/>
          <w:szCs w:val="21"/>
          <w:lang w:val="en-US" w:eastAsia="zh-CN"/>
        </w:rPr>
        <w:t>根据</w:t>
      </w:r>
      <w:r>
        <w:rPr>
          <w:szCs w:val="21"/>
        </w:rPr>
        <w:t>通常在样品中发现的较高的PAH含量</w:t>
      </w:r>
      <w:r>
        <w:rPr>
          <w:rFonts w:hint="eastAsia"/>
          <w:szCs w:val="21"/>
          <w:lang w:val="en-US" w:eastAsia="zh-CN"/>
        </w:rPr>
        <w:t>来确定</w:t>
      </w:r>
      <w:r>
        <w:rPr>
          <w:szCs w:val="21"/>
        </w:rPr>
        <w:t>。</w:t>
      </w:r>
    </w:p>
    <w:p>
      <w:pPr>
        <w:spacing w:before="156" w:beforeLines="50" w:after="156" w:afterLines="50"/>
        <w:jc w:val="center"/>
        <w:rPr>
          <w:b/>
          <w:bCs/>
          <w:szCs w:val="21"/>
        </w:rPr>
      </w:pPr>
      <w:r>
        <w:rPr>
          <w:b/>
          <w:bCs/>
          <w:szCs w:val="21"/>
        </w:rPr>
        <w:t>表3</w:t>
      </w:r>
      <w:r>
        <w:rPr>
          <w:rFonts w:hint="eastAsia"/>
          <w:b/>
          <w:bCs/>
          <w:szCs w:val="21"/>
          <w:lang w:val="en-US" w:eastAsia="zh-CN"/>
        </w:rPr>
        <w:t xml:space="preserve"> </w:t>
      </w:r>
      <w:r>
        <w:rPr>
          <w:b/>
          <w:bCs/>
          <w:szCs w:val="21"/>
        </w:rPr>
        <w:t>用于GC-MS分析的低浓度标准溶液的制备</w:t>
      </w:r>
    </w:p>
    <w:tbl>
      <w:tblPr>
        <w:tblStyle w:val="44"/>
        <w:tblW w:w="9493" w:type="dxa"/>
        <w:tblInd w:w="0" w:type="dxa"/>
        <w:tblLayout w:type="fixed"/>
        <w:tblCellMar>
          <w:top w:w="0" w:type="dxa"/>
          <w:left w:w="57" w:type="dxa"/>
          <w:bottom w:w="0" w:type="dxa"/>
          <w:right w:w="57" w:type="dxa"/>
        </w:tblCellMar>
      </w:tblPr>
      <w:tblGrid>
        <w:gridCol w:w="543"/>
        <w:gridCol w:w="1464"/>
        <w:gridCol w:w="1506"/>
        <w:gridCol w:w="1506"/>
        <w:gridCol w:w="1471"/>
        <w:gridCol w:w="1438"/>
        <w:gridCol w:w="1565"/>
      </w:tblGrid>
      <w:tr>
        <w:tblPrEx>
          <w:tblLayout w:type="fixed"/>
          <w:tblCellMar>
            <w:top w:w="0" w:type="dxa"/>
            <w:left w:w="57" w:type="dxa"/>
            <w:bottom w:w="0" w:type="dxa"/>
            <w:right w:w="57" w:type="dxa"/>
          </w:tblCellMar>
        </w:tblPrEx>
        <w:trPr>
          <w:trHeight w:val="948" w:hRule="atLeast"/>
        </w:trPr>
        <w:tc>
          <w:tcPr>
            <w:tcW w:w="543" w:type="dxa"/>
            <w:tcBorders>
              <w:top w:val="single" w:color="auto" w:sz="4" w:space="0"/>
              <w:left w:val="single" w:color="auto" w:sz="4" w:space="0"/>
            </w:tcBorders>
            <w:shd w:val="clear" w:color="auto" w:fill="FFFFFF"/>
            <w:vAlign w:val="center"/>
          </w:tcPr>
          <w:p>
            <w:pPr>
              <w:jc w:val="center"/>
              <w:rPr>
                <w:sz w:val="18"/>
                <w:szCs w:val="18"/>
              </w:rPr>
            </w:pPr>
            <w:r>
              <w:rPr>
                <w:sz w:val="18"/>
                <w:szCs w:val="18"/>
              </w:rPr>
              <w:t>编号</w:t>
            </w:r>
          </w:p>
        </w:tc>
        <w:tc>
          <w:tcPr>
            <w:tcW w:w="1464" w:type="dxa"/>
            <w:tcBorders>
              <w:top w:val="single" w:color="auto" w:sz="4" w:space="0"/>
              <w:left w:val="single" w:color="auto" w:sz="4" w:space="0"/>
            </w:tcBorders>
            <w:shd w:val="clear" w:color="auto" w:fill="FFFFFF"/>
            <w:vAlign w:val="center"/>
          </w:tcPr>
          <w:p>
            <w:pPr>
              <w:jc w:val="center"/>
              <w:rPr>
                <w:sz w:val="18"/>
                <w:szCs w:val="18"/>
              </w:rPr>
            </w:pPr>
            <w:r>
              <w:rPr>
                <w:sz w:val="18"/>
                <w:szCs w:val="18"/>
              </w:rPr>
              <w:t>PAH</w:t>
            </w:r>
            <w:r>
              <w:rPr>
                <w:rFonts w:hint="eastAsia"/>
                <w:sz w:val="18"/>
                <w:szCs w:val="18"/>
                <w:lang w:val="en-US" w:eastAsia="zh-CN"/>
              </w:rPr>
              <w:t>s标准混合溶液</w:t>
            </w:r>
            <w:r>
              <w:rPr>
                <w:sz w:val="18"/>
                <w:szCs w:val="18"/>
              </w:rPr>
              <w:t>体积</w:t>
            </w:r>
          </w:p>
          <w:p>
            <w:pPr>
              <w:jc w:val="center"/>
              <w:rPr>
                <w:rFonts w:hint="eastAsia" w:eastAsia="宋体"/>
                <w:sz w:val="18"/>
                <w:szCs w:val="18"/>
                <w:lang w:eastAsia="zh-CN"/>
              </w:rPr>
            </w:pPr>
            <w:r>
              <w:rPr>
                <w:sz w:val="18"/>
                <w:szCs w:val="18"/>
              </w:rPr>
              <w:t>m</w:t>
            </w:r>
            <w:r>
              <w:rPr>
                <w:rFonts w:hint="eastAsia"/>
                <w:sz w:val="18"/>
                <w:szCs w:val="18"/>
                <w:lang w:eastAsia="zh-CN"/>
              </w:rPr>
              <w:t>L</w:t>
            </w:r>
          </w:p>
          <w:p>
            <w:pPr>
              <w:jc w:val="center"/>
              <w:rPr>
                <w:sz w:val="18"/>
                <w:szCs w:val="18"/>
              </w:rPr>
            </w:pPr>
            <w:r>
              <w:rPr>
                <w:sz w:val="18"/>
                <w:szCs w:val="18"/>
              </w:rPr>
              <w:t xml:space="preserve">（ 8.4.3 </w:t>
            </w:r>
            <w:r>
              <w:rPr>
                <w:rFonts w:hint="eastAsia"/>
                <w:sz w:val="18"/>
                <w:szCs w:val="18"/>
                <w:lang w:val="en-US" w:eastAsia="zh-CN"/>
              </w:rPr>
              <w:t>.</w:t>
            </w:r>
            <w:r>
              <w:rPr>
                <w:sz w:val="18"/>
                <w:szCs w:val="18"/>
              </w:rPr>
              <w:t>c））</w:t>
            </w:r>
          </w:p>
        </w:tc>
        <w:tc>
          <w:tcPr>
            <w:tcW w:w="1506" w:type="dxa"/>
            <w:tcBorders>
              <w:top w:val="single" w:color="auto" w:sz="4" w:space="0"/>
              <w:left w:val="single" w:color="auto" w:sz="4" w:space="0"/>
            </w:tcBorders>
            <w:shd w:val="clear" w:color="auto" w:fill="FFFFFF"/>
            <w:vAlign w:val="center"/>
          </w:tcPr>
          <w:p>
            <w:pPr>
              <w:jc w:val="center"/>
              <w:rPr>
                <w:rFonts w:hint="eastAsia"/>
                <w:sz w:val="18"/>
                <w:szCs w:val="18"/>
                <w:lang w:val="en-US" w:eastAsia="zh-CN"/>
              </w:rPr>
            </w:pPr>
            <w:r>
              <w:rPr>
                <w:rFonts w:hint="eastAsia"/>
                <w:sz w:val="18"/>
                <w:szCs w:val="18"/>
                <w:lang w:val="en-US" w:eastAsia="zh-CN"/>
              </w:rPr>
              <w:t>标记物溶液</w:t>
            </w:r>
          </w:p>
          <w:p>
            <w:pPr>
              <w:jc w:val="center"/>
              <w:rPr>
                <w:sz w:val="18"/>
                <w:szCs w:val="18"/>
              </w:rPr>
            </w:pPr>
            <w:r>
              <w:rPr>
                <w:sz w:val="18"/>
                <w:szCs w:val="18"/>
              </w:rPr>
              <w:t>体积</w:t>
            </w:r>
          </w:p>
          <w:p>
            <w:pPr>
              <w:jc w:val="center"/>
              <w:rPr>
                <w:rFonts w:hint="eastAsia" w:eastAsia="宋体"/>
                <w:sz w:val="18"/>
                <w:szCs w:val="18"/>
                <w:lang w:eastAsia="zh-CN"/>
              </w:rPr>
            </w:pPr>
            <w:r>
              <w:rPr>
                <w:sz w:val="18"/>
                <w:szCs w:val="18"/>
              </w:rPr>
              <w:t>m</w:t>
            </w:r>
            <w:r>
              <w:rPr>
                <w:rFonts w:hint="eastAsia"/>
                <w:sz w:val="18"/>
                <w:szCs w:val="18"/>
                <w:lang w:eastAsia="zh-CN"/>
              </w:rPr>
              <w:t>L</w:t>
            </w:r>
          </w:p>
          <w:p>
            <w:pPr>
              <w:jc w:val="center"/>
              <w:rPr>
                <w:rFonts w:hint="eastAsia" w:eastAsia="宋体"/>
                <w:sz w:val="18"/>
                <w:szCs w:val="18"/>
                <w:lang w:val="en-US" w:eastAsia="zh-CN"/>
              </w:rPr>
            </w:pPr>
            <w:r>
              <w:rPr>
                <w:rFonts w:hint="eastAsia"/>
                <w:sz w:val="18"/>
                <w:szCs w:val="18"/>
                <w:lang w:val="en-US" w:eastAsia="zh-CN"/>
              </w:rPr>
              <w:t>(10mg/L)</w:t>
            </w:r>
          </w:p>
        </w:tc>
        <w:tc>
          <w:tcPr>
            <w:tcW w:w="1506" w:type="dxa"/>
            <w:tcBorders>
              <w:top w:val="single" w:color="auto" w:sz="4" w:space="0"/>
              <w:left w:val="single" w:color="auto" w:sz="4" w:space="0"/>
            </w:tcBorders>
            <w:shd w:val="clear" w:color="auto" w:fill="FFFFFF"/>
            <w:vAlign w:val="center"/>
          </w:tcPr>
          <w:p>
            <w:pPr>
              <w:jc w:val="center"/>
              <w:rPr>
                <w:sz w:val="18"/>
                <w:szCs w:val="18"/>
              </w:rPr>
            </w:pPr>
            <w:r>
              <w:rPr>
                <w:sz w:val="18"/>
                <w:szCs w:val="18"/>
              </w:rPr>
              <w:t>内标物</w:t>
            </w:r>
            <w:r>
              <w:rPr>
                <w:rFonts w:hint="eastAsia"/>
                <w:sz w:val="18"/>
                <w:szCs w:val="18"/>
                <w:lang w:val="en-US" w:eastAsia="zh-CN"/>
              </w:rPr>
              <w:t>溶液</w:t>
            </w:r>
            <w:r>
              <w:rPr>
                <w:sz w:val="18"/>
                <w:szCs w:val="18"/>
              </w:rPr>
              <w:t>体积</w:t>
            </w:r>
          </w:p>
          <w:p>
            <w:pPr>
              <w:jc w:val="center"/>
              <w:rPr>
                <w:rFonts w:hint="eastAsia" w:eastAsia="宋体"/>
                <w:sz w:val="18"/>
                <w:szCs w:val="18"/>
                <w:lang w:eastAsia="zh-CN"/>
              </w:rPr>
            </w:pPr>
            <w:r>
              <w:rPr>
                <w:sz w:val="18"/>
                <w:szCs w:val="18"/>
              </w:rPr>
              <w:t>m</w:t>
            </w:r>
            <w:r>
              <w:rPr>
                <w:rFonts w:hint="eastAsia"/>
                <w:sz w:val="18"/>
                <w:szCs w:val="18"/>
                <w:lang w:eastAsia="zh-CN"/>
              </w:rPr>
              <w:t>L</w:t>
            </w:r>
          </w:p>
          <w:p>
            <w:pPr>
              <w:jc w:val="center"/>
              <w:rPr>
                <w:sz w:val="18"/>
                <w:szCs w:val="18"/>
              </w:rPr>
            </w:pPr>
            <w:r>
              <w:rPr>
                <w:sz w:val="18"/>
                <w:szCs w:val="18"/>
              </w:rPr>
              <w:t xml:space="preserve">（ 8.4.4 </w:t>
            </w:r>
            <w:r>
              <w:rPr>
                <w:rFonts w:hint="eastAsia"/>
                <w:sz w:val="18"/>
                <w:szCs w:val="18"/>
                <w:lang w:val="en-US" w:eastAsia="zh-CN"/>
              </w:rPr>
              <w:t>.</w:t>
            </w:r>
            <w:r>
              <w:rPr>
                <w:sz w:val="18"/>
                <w:szCs w:val="18"/>
              </w:rPr>
              <w:t>c））</w:t>
            </w:r>
          </w:p>
        </w:tc>
        <w:tc>
          <w:tcPr>
            <w:tcW w:w="1471" w:type="dxa"/>
            <w:tcBorders>
              <w:top w:val="single" w:color="auto" w:sz="4" w:space="0"/>
              <w:left w:val="single" w:color="auto" w:sz="4" w:space="0"/>
            </w:tcBorders>
            <w:shd w:val="clear" w:color="auto" w:fill="FFFFFF"/>
            <w:vAlign w:val="center"/>
          </w:tcPr>
          <w:p>
            <w:pPr>
              <w:jc w:val="center"/>
              <w:rPr>
                <w:sz w:val="18"/>
                <w:szCs w:val="18"/>
              </w:rPr>
            </w:pPr>
            <w:r>
              <w:rPr>
                <w:sz w:val="18"/>
                <w:szCs w:val="18"/>
              </w:rPr>
              <w:t>最终体积</w:t>
            </w:r>
          </w:p>
          <w:p>
            <w:pPr>
              <w:jc w:val="center"/>
              <w:rPr>
                <w:rFonts w:hint="eastAsia" w:eastAsia="宋体"/>
                <w:sz w:val="18"/>
                <w:szCs w:val="18"/>
                <w:lang w:eastAsia="zh-CN"/>
              </w:rPr>
            </w:pPr>
            <w:r>
              <w:rPr>
                <w:sz w:val="18"/>
                <w:szCs w:val="18"/>
              </w:rPr>
              <w:t>m</w:t>
            </w:r>
            <w:r>
              <w:rPr>
                <w:rFonts w:hint="eastAsia"/>
                <w:sz w:val="18"/>
                <w:szCs w:val="18"/>
                <w:lang w:eastAsia="zh-CN"/>
              </w:rPr>
              <w:t>L</w:t>
            </w:r>
          </w:p>
        </w:tc>
        <w:tc>
          <w:tcPr>
            <w:tcW w:w="1438" w:type="dxa"/>
            <w:tcBorders>
              <w:top w:val="single" w:color="auto" w:sz="4" w:space="0"/>
              <w:left w:val="single" w:color="auto" w:sz="4" w:space="0"/>
            </w:tcBorders>
            <w:shd w:val="clear" w:color="auto" w:fill="FFFFFF"/>
            <w:vAlign w:val="center"/>
          </w:tcPr>
          <w:p>
            <w:pPr>
              <w:jc w:val="center"/>
              <w:rPr>
                <w:sz w:val="18"/>
                <w:szCs w:val="18"/>
              </w:rPr>
            </w:pPr>
            <w:r>
              <w:rPr>
                <w:i/>
                <w:iCs/>
                <w:sz w:val="18"/>
                <w:szCs w:val="18"/>
              </w:rPr>
              <w:t>c</w:t>
            </w:r>
          </w:p>
          <w:p>
            <w:pPr>
              <w:jc w:val="center"/>
              <w:rPr>
                <w:sz w:val="18"/>
                <w:szCs w:val="18"/>
              </w:rPr>
            </w:pPr>
            <w:r>
              <w:rPr>
                <w:sz w:val="18"/>
                <w:szCs w:val="18"/>
              </w:rPr>
              <w:t>（PAH）</w:t>
            </w:r>
          </w:p>
          <w:p>
            <w:pPr>
              <w:jc w:val="center"/>
              <w:rPr>
                <w:rFonts w:hint="eastAsia" w:eastAsia="宋体"/>
                <w:sz w:val="18"/>
                <w:szCs w:val="18"/>
                <w:lang w:eastAsia="zh-CN"/>
              </w:rPr>
            </w:pPr>
            <w:r>
              <w:rPr>
                <w:sz w:val="18"/>
                <w:szCs w:val="18"/>
              </w:rPr>
              <w:t>μg/</w:t>
            </w:r>
            <w:r>
              <w:rPr>
                <w:rFonts w:hint="eastAsia"/>
                <w:sz w:val="18"/>
                <w:szCs w:val="18"/>
                <w:lang w:eastAsia="zh-CN"/>
              </w:rPr>
              <w:t>L</w:t>
            </w:r>
          </w:p>
        </w:tc>
        <w:tc>
          <w:tcPr>
            <w:tcW w:w="1565"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i/>
                <w:iCs/>
                <w:sz w:val="18"/>
                <w:szCs w:val="18"/>
              </w:rPr>
              <w:t>c</w:t>
            </w:r>
          </w:p>
          <w:p>
            <w:pPr>
              <w:jc w:val="center"/>
              <w:rPr>
                <w:sz w:val="18"/>
                <w:szCs w:val="18"/>
              </w:rPr>
            </w:pPr>
            <w:r>
              <w:rPr>
                <w:sz w:val="18"/>
                <w:szCs w:val="18"/>
              </w:rPr>
              <w:t>（</w:t>
            </w:r>
            <w:r>
              <w:rPr>
                <w:rFonts w:hint="eastAsia"/>
                <w:sz w:val="18"/>
                <w:szCs w:val="18"/>
                <w:lang w:eastAsia="zh-CN"/>
              </w:rPr>
              <w:t>标记物</w:t>
            </w:r>
            <w:r>
              <w:rPr>
                <w:sz w:val="18"/>
                <w:szCs w:val="18"/>
              </w:rPr>
              <w:t>）</w:t>
            </w:r>
          </w:p>
          <w:p>
            <w:pPr>
              <w:jc w:val="center"/>
              <w:rPr>
                <w:rFonts w:hint="eastAsia" w:eastAsia="宋体"/>
                <w:sz w:val="18"/>
                <w:szCs w:val="18"/>
                <w:lang w:eastAsia="zh-CN"/>
              </w:rPr>
            </w:pPr>
            <w:r>
              <w:rPr>
                <w:sz w:val="18"/>
                <w:szCs w:val="18"/>
              </w:rPr>
              <w:t>μg/</w:t>
            </w:r>
            <w:r>
              <w:rPr>
                <w:rFonts w:hint="eastAsia"/>
                <w:sz w:val="18"/>
                <w:szCs w:val="18"/>
                <w:lang w:eastAsia="zh-CN"/>
              </w:rPr>
              <w:t>L</w:t>
            </w:r>
          </w:p>
        </w:tc>
      </w:tr>
      <w:tr>
        <w:tblPrEx>
          <w:tblLayout w:type="fixed"/>
          <w:tblCellMar>
            <w:top w:w="0" w:type="dxa"/>
            <w:left w:w="57" w:type="dxa"/>
            <w:bottom w:w="0" w:type="dxa"/>
            <w:right w:w="57" w:type="dxa"/>
          </w:tblCellMar>
        </w:tblPrEx>
        <w:tc>
          <w:tcPr>
            <w:tcW w:w="543" w:type="dxa"/>
            <w:tcBorders>
              <w:top w:val="single" w:color="auto" w:sz="4" w:space="0"/>
              <w:left w:val="single" w:color="auto" w:sz="4" w:space="0"/>
            </w:tcBorders>
            <w:shd w:val="clear" w:color="auto" w:fill="FFFFFF"/>
            <w:vAlign w:val="center"/>
          </w:tcPr>
          <w:p>
            <w:pPr>
              <w:jc w:val="center"/>
              <w:rPr>
                <w:sz w:val="18"/>
                <w:szCs w:val="18"/>
              </w:rPr>
            </w:pPr>
            <w:r>
              <w:rPr>
                <w:sz w:val="18"/>
                <w:szCs w:val="18"/>
              </w:rPr>
              <w:t>1</w:t>
            </w:r>
          </w:p>
        </w:tc>
        <w:tc>
          <w:tcPr>
            <w:tcW w:w="1464"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02</w:t>
            </w:r>
          </w:p>
        </w:tc>
        <w:tc>
          <w:tcPr>
            <w:tcW w:w="150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02</w:t>
            </w:r>
          </w:p>
        </w:tc>
        <w:tc>
          <w:tcPr>
            <w:tcW w:w="150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01</w:t>
            </w:r>
          </w:p>
        </w:tc>
        <w:tc>
          <w:tcPr>
            <w:tcW w:w="1471" w:type="dxa"/>
            <w:tcBorders>
              <w:top w:val="single" w:color="auto" w:sz="4" w:space="0"/>
              <w:left w:val="single" w:color="auto" w:sz="4" w:space="0"/>
            </w:tcBorders>
            <w:shd w:val="clear" w:color="auto" w:fill="FFFFFF"/>
            <w:vAlign w:val="center"/>
          </w:tcPr>
          <w:p>
            <w:pPr>
              <w:jc w:val="center"/>
              <w:rPr>
                <w:sz w:val="18"/>
                <w:szCs w:val="18"/>
              </w:rPr>
            </w:pPr>
            <w:r>
              <w:rPr>
                <w:sz w:val="18"/>
                <w:szCs w:val="18"/>
              </w:rPr>
              <w:t>10</w:t>
            </w:r>
          </w:p>
        </w:tc>
        <w:tc>
          <w:tcPr>
            <w:tcW w:w="1438" w:type="dxa"/>
            <w:tcBorders>
              <w:top w:val="single" w:color="auto" w:sz="4" w:space="0"/>
              <w:left w:val="single" w:color="auto" w:sz="4" w:space="0"/>
            </w:tcBorders>
            <w:shd w:val="clear" w:color="auto" w:fill="FFFFFF"/>
            <w:vAlign w:val="center"/>
          </w:tcPr>
          <w:p>
            <w:pPr>
              <w:jc w:val="center"/>
              <w:rPr>
                <w:sz w:val="18"/>
                <w:szCs w:val="18"/>
              </w:rPr>
            </w:pPr>
            <w:r>
              <w:rPr>
                <w:sz w:val="18"/>
                <w:szCs w:val="18"/>
              </w:rPr>
              <w:t>20</w:t>
            </w:r>
          </w:p>
        </w:tc>
        <w:tc>
          <w:tcPr>
            <w:tcW w:w="1565"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20</w:t>
            </w:r>
          </w:p>
        </w:tc>
      </w:tr>
      <w:tr>
        <w:tblPrEx>
          <w:tblLayout w:type="fixed"/>
          <w:tblCellMar>
            <w:top w:w="0" w:type="dxa"/>
            <w:left w:w="57" w:type="dxa"/>
            <w:bottom w:w="0" w:type="dxa"/>
            <w:right w:w="57" w:type="dxa"/>
          </w:tblCellMar>
        </w:tblPrEx>
        <w:tc>
          <w:tcPr>
            <w:tcW w:w="543" w:type="dxa"/>
            <w:tcBorders>
              <w:top w:val="single" w:color="auto" w:sz="4" w:space="0"/>
              <w:left w:val="single" w:color="auto" w:sz="4" w:space="0"/>
            </w:tcBorders>
            <w:shd w:val="clear" w:color="auto" w:fill="FFFFFF"/>
            <w:vAlign w:val="center"/>
          </w:tcPr>
          <w:p>
            <w:pPr>
              <w:jc w:val="center"/>
              <w:rPr>
                <w:sz w:val="18"/>
                <w:szCs w:val="18"/>
              </w:rPr>
            </w:pPr>
            <w:r>
              <w:rPr>
                <w:sz w:val="18"/>
                <w:szCs w:val="18"/>
              </w:rPr>
              <w:t>2</w:t>
            </w:r>
          </w:p>
        </w:tc>
        <w:tc>
          <w:tcPr>
            <w:tcW w:w="1464"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05</w:t>
            </w:r>
          </w:p>
        </w:tc>
        <w:tc>
          <w:tcPr>
            <w:tcW w:w="150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05</w:t>
            </w:r>
          </w:p>
        </w:tc>
        <w:tc>
          <w:tcPr>
            <w:tcW w:w="150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01</w:t>
            </w:r>
          </w:p>
        </w:tc>
        <w:tc>
          <w:tcPr>
            <w:tcW w:w="1471" w:type="dxa"/>
            <w:tcBorders>
              <w:top w:val="single" w:color="auto" w:sz="4" w:space="0"/>
              <w:left w:val="single" w:color="auto" w:sz="4" w:space="0"/>
            </w:tcBorders>
            <w:shd w:val="clear" w:color="auto" w:fill="FFFFFF"/>
            <w:vAlign w:val="center"/>
          </w:tcPr>
          <w:p>
            <w:pPr>
              <w:jc w:val="center"/>
              <w:rPr>
                <w:sz w:val="18"/>
                <w:szCs w:val="18"/>
              </w:rPr>
            </w:pPr>
            <w:r>
              <w:rPr>
                <w:sz w:val="18"/>
                <w:szCs w:val="18"/>
              </w:rPr>
              <w:t>10</w:t>
            </w:r>
          </w:p>
        </w:tc>
        <w:tc>
          <w:tcPr>
            <w:tcW w:w="1438" w:type="dxa"/>
            <w:tcBorders>
              <w:top w:val="single" w:color="auto" w:sz="4" w:space="0"/>
              <w:left w:val="single" w:color="auto" w:sz="4" w:space="0"/>
            </w:tcBorders>
            <w:shd w:val="clear" w:color="auto" w:fill="FFFFFF"/>
            <w:vAlign w:val="center"/>
          </w:tcPr>
          <w:p>
            <w:pPr>
              <w:jc w:val="center"/>
              <w:rPr>
                <w:sz w:val="18"/>
                <w:szCs w:val="18"/>
              </w:rPr>
            </w:pPr>
            <w:r>
              <w:rPr>
                <w:sz w:val="18"/>
                <w:szCs w:val="18"/>
              </w:rPr>
              <w:t>50</w:t>
            </w:r>
          </w:p>
        </w:tc>
        <w:tc>
          <w:tcPr>
            <w:tcW w:w="1565"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50</w:t>
            </w:r>
          </w:p>
        </w:tc>
      </w:tr>
      <w:tr>
        <w:tblPrEx>
          <w:tblLayout w:type="fixed"/>
          <w:tblCellMar>
            <w:top w:w="0" w:type="dxa"/>
            <w:left w:w="57" w:type="dxa"/>
            <w:bottom w:w="0" w:type="dxa"/>
            <w:right w:w="57" w:type="dxa"/>
          </w:tblCellMar>
        </w:tblPrEx>
        <w:tc>
          <w:tcPr>
            <w:tcW w:w="543" w:type="dxa"/>
            <w:tcBorders>
              <w:top w:val="single" w:color="auto" w:sz="4" w:space="0"/>
              <w:left w:val="single" w:color="auto" w:sz="4" w:space="0"/>
            </w:tcBorders>
            <w:shd w:val="clear" w:color="auto" w:fill="FFFFFF"/>
            <w:vAlign w:val="center"/>
          </w:tcPr>
          <w:p>
            <w:pPr>
              <w:jc w:val="center"/>
              <w:rPr>
                <w:sz w:val="18"/>
                <w:szCs w:val="18"/>
              </w:rPr>
            </w:pPr>
            <w:r>
              <w:rPr>
                <w:sz w:val="18"/>
                <w:szCs w:val="18"/>
              </w:rPr>
              <w:t>3</w:t>
            </w:r>
          </w:p>
        </w:tc>
        <w:tc>
          <w:tcPr>
            <w:tcW w:w="1464"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1</w:t>
            </w:r>
          </w:p>
        </w:tc>
        <w:tc>
          <w:tcPr>
            <w:tcW w:w="150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1</w:t>
            </w:r>
          </w:p>
        </w:tc>
        <w:tc>
          <w:tcPr>
            <w:tcW w:w="1506" w:type="dxa"/>
            <w:tcBorders>
              <w:top w:val="single" w:color="auto" w:sz="4" w:space="0"/>
              <w:left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01</w:t>
            </w:r>
          </w:p>
        </w:tc>
        <w:tc>
          <w:tcPr>
            <w:tcW w:w="1471" w:type="dxa"/>
            <w:tcBorders>
              <w:top w:val="single" w:color="auto" w:sz="4" w:space="0"/>
              <w:left w:val="single" w:color="auto" w:sz="4" w:space="0"/>
            </w:tcBorders>
            <w:shd w:val="clear" w:color="auto" w:fill="FFFFFF"/>
            <w:vAlign w:val="center"/>
          </w:tcPr>
          <w:p>
            <w:pPr>
              <w:jc w:val="center"/>
              <w:rPr>
                <w:sz w:val="18"/>
                <w:szCs w:val="18"/>
              </w:rPr>
            </w:pPr>
            <w:r>
              <w:rPr>
                <w:sz w:val="18"/>
                <w:szCs w:val="18"/>
              </w:rPr>
              <w:t>10</w:t>
            </w:r>
          </w:p>
        </w:tc>
        <w:tc>
          <w:tcPr>
            <w:tcW w:w="1438" w:type="dxa"/>
            <w:tcBorders>
              <w:top w:val="single" w:color="auto" w:sz="4" w:space="0"/>
              <w:left w:val="single" w:color="auto" w:sz="4" w:space="0"/>
            </w:tcBorders>
            <w:shd w:val="clear" w:color="auto" w:fill="FFFFFF"/>
            <w:vAlign w:val="center"/>
          </w:tcPr>
          <w:p>
            <w:pPr>
              <w:jc w:val="center"/>
              <w:rPr>
                <w:sz w:val="18"/>
                <w:szCs w:val="18"/>
              </w:rPr>
            </w:pPr>
            <w:r>
              <w:rPr>
                <w:sz w:val="18"/>
                <w:szCs w:val="18"/>
              </w:rPr>
              <w:t>100</w:t>
            </w:r>
          </w:p>
        </w:tc>
        <w:tc>
          <w:tcPr>
            <w:tcW w:w="1565" w:type="dxa"/>
            <w:tcBorders>
              <w:top w:val="single" w:color="auto" w:sz="4" w:space="0"/>
              <w:left w:val="single" w:color="auto" w:sz="4" w:space="0"/>
              <w:right w:val="single" w:color="auto" w:sz="4" w:space="0"/>
            </w:tcBorders>
            <w:shd w:val="clear" w:color="auto" w:fill="FFFFFF"/>
            <w:vAlign w:val="center"/>
          </w:tcPr>
          <w:p>
            <w:pPr>
              <w:jc w:val="center"/>
              <w:rPr>
                <w:sz w:val="18"/>
                <w:szCs w:val="18"/>
              </w:rPr>
            </w:pPr>
            <w:r>
              <w:rPr>
                <w:sz w:val="18"/>
                <w:szCs w:val="18"/>
              </w:rPr>
              <w:t>100</w:t>
            </w:r>
          </w:p>
        </w:tc>
      </w:tr>
      <w:tr>
        <w:tblPrEx>
          <w:tblLayout w:type="fixed"/>
          <w:tblCellMar>
            <w:top w:w="0" w:type="dxa"/>
            <w:left w:w="57" w:type="dxa"/>
            <w:bottom w:w="0" w:type="dxa"/>
            <w:right w:w="57" w:type="dxa"/>
          </w:tblCellMar>
        </w:tblPrEx>
        <w:tc>
          <w:tcPr>
            <w:tcW w:w="543" w:type="dxa"/>
            <w:tcBorders>
              <w:top w:val="single" w:color="auto" w:sz="4" w:space="0"/>
              <w:left w:val="single" w:color="auto" w:sz="4" w:space="0"/>
              <w:bottom w:val="single" w:color="auto" w:sz="4" w:space="0"/>
            </w:tcBorders>
            <w:shd w:val="clear" w:color="auto" w:fill="FFFFFF"/>
            <w:vAlign w:val="center"/>
          </w:tcPr>
          <w:p>
            <w:pPr>
              <w:jc w:val="center"/>
              <w:rPr>
                <w:sz w:val="18"/>
                <w:szCs w:val="18"/>
              </w:rPr>
            </w:pPr>
            <w:r>
              <w:rPr>
                <w:sz w:val="18"/>
                <w:szCs w:val="18"/>
              </w:rPr>
              <w:t>4</w:t>
            </w:r>
          </w:p>
        </w:tc>
        <w:tc>
          <w:tcPr>
            <w:tcW w:w="1464" w:type="dxa"/>
            <w:tcBorders>
              <w:top w:val="single" w:color="auto" w:sz="4" w:space="0"/>
              <w:left w:val="single" w:color="auto" w:sz="4" w:space="0"/>
              <w:bottom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2</w:t>
            </w:r>
          </w:p>
        </w:tc>
        <w:tc>
          <w:tcPr>
            <w:tcW w:w="1506" w:type="dxa"/>
            <w:tcBorders>
              <w:top w:val="single" w:color="auto" w:sz="4" w:space="0"/>
              <w:left w:val="single" w:color="auto" w:sz="4" w:space="0"/>
              <w:bottom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2</w:t>
            </w:r>
          </w:p>
        </w:tc>
        <w:tc>
          <w:tcPr>
            <w:tcW w:w="1506" w:type="dxa"/>
            <w:tcBorders>
              <w:top w:val="single" w:color="auto" w:sz="4" w:space="0"/>
              <w:left w:val="single" w:color="auto" w:sz="4" w:space="0"/>
              <w:bottom w:val="single" w:color="auto" w:sz="4" w:space="0"/>
            </w:tcBorders>
            <w:shd w:val="clear" w:color="auto" w:fill="FFFFFF"/>
            <w:vAlign w:val="center"/>
          </w:tcPr>
          <w:p>
            <w:pPr>
              <w:jc w:val="center"/>
              <w:rPr>
                <w:sz w:val="18"/>
                <w:szCs w:val="18"/>
              </w:rPr>
            </w:pPr>
            <w:r>
              <w:rPr>
                <w:sz w:val="18"/>
                <w:szCs w:val="18"/>
              </w:rPr>
              <w:t>0</w:t>
            </w:r>
            <w:r>
              <w:rPr>
                <w:rFonts w:hint="eastAsia"/>
                <w:sz w:val="18"/>
                <w:szCs w:val="18"/>
                <w:lang w:eastAsia="zh-CN"/>
              </w:rPr>
              <w:t>.</w:t>
            </w:r>
            <w:r>
              <w:rPr>
                <w:sz w:val="18"/>
                <w:szCs w:val="18"/>
              </w:rPr>
              <w:t>01</w:t>
            </w:r>
          </w:p>
        </w:tc>
        <w:tc>
          <w:tcPr>
            <w:tcW w:w="1471" w:type="dxa"/>
            <w:tcBorders>
              <w:top w:val="single" w:color="auto" w:sz="4" w:space="0"/>
              <w:left w:val="single" w:color="auto" w:sz="4" w:space="0"/>
              <w:bottom w:val="single" w:color="auto" w:sz="4" w:space="0"/>
            </w:tcBorders>
            <w:shd w:val="clear" w:color="auto" w:fill="FFFFFF"/>
            <w:vAlign w:val="center"/>
          </w:tcPr>
          <w:p>
            <w:pPr>
              <w:jc w:val="center"/>
              <w:rPr>
                <w:sz w:val="18"/>
                <w:szCs w:val="18"/>
              </w:rPr>
            </w:pPr>
            <w:r>
              <w:rPr>
                <w:sz w:val="18"/>
                <w:szCs w:val="18"/>
              </w:rPr>
              <w:t>10</w:t>
            </w:r>
          </w:p>
        </w:tc>
        <w:tc>
          <w:tcPr>
            <w:tcW w:w="1438" w:type="dxa"/>
            <w:tcBorders>
              <w:top w:val="single" w:color="auto" w:sz="4" w:space="0"/>
              <w:left w:val="single" w:color="auto" w:sz="4" w:space="0"/>
              <w:bottom w:val="single" w:color="auto" w:sz="4" w:space="0"/>
            </w:tcBorders>
            <w:shd w:val="clear" w:color="auto" w:fill="FFFFFF"/>
            <w:vAlign w:val="center"/>
          </w:tcPr>
          <w:p>
            <w:pPr>
              <w:jc w:val="center"/>
              <w:rPr>
                <w:sz w:val="18"/>
                <w:szCs w:val="18"/>
              </w:rPr>
            </w:pPr>
            <w:r>
              <w:rPr>
                <w:sz w:val="18"/>
                <w:szCs w:val="18"/>
              </w:rPr>
              <w:t>200</w:t>
            </w:r>
          </w:p>
        </w:tc>
        <w:tc>
          <w:tcPr>
            <w:tcW w:w="156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sz w:val="18"/>
                <w:szCs w:val="18"/>
              </w:rPr>
            </w:pPr>
            <w:r>
              <w:rPr>
                <w:sz w:val="18"/>
                <w:szCs w:val="18"/>
              </w:rPr>
              <w:t>200</w:t>
            </w:r>
          </w:p>
        </w:tc>
      </w:tr>
    </w:tbl>
    <w:p>
      <w:pPr>
        <w:spacing w:before="156" w:beforeLines="50" w:after="156" w:afterLines="50"/>
        <w:jc w:val="center"/>
        <w:rPr>
          <w:b/>
          <w:bCs/>
          <w:szCs w:val="21"/>
        </w:rPr>
      </w:pPr>
      <w:r>
        <w:rPr>
          <w:b/>
          <w:bCs/>
          <w:szCs w:val="21"/>
        </w:rPr>
        <w:t>表4</w:t>
      </w:r>
      <w:r>
        <w:rPr>
          <w:rFonts w:hint="eastAsia"/>
          <w:b/>
          <w:bCs/>
          <w:szCs w:val="21"/>
          <w:lang w:val="en-US" w:eastAsia="zh-CN"/>
        </w:rPr>
        <w:t xml:space="preserve"> </w:t>
      </w:r>
      <w:r>
        <w:rPr>
          <w:b/>
          <w:bCs/>
          <w:szCs w:val="21"/>
        </w:rPr>
        <w:t>用于GC-MS分析的高浓度标准溶液的制备</w:t>
      </w:r>
    </w:p>
    <w:tbl>
      <w:tblPr>
        <w:tblStyle w:val="44"/>
        <w:tblW w:w="9493" w:type="dxa"/>
        <w:tblInd w:w="0" w:type="dxa"/>
        <w:tblLayout w:type="fixed"/>
        <w:tblCellMar>
          <w:top w:w="0" w:type="dxa"/>
          <w:left w:w="57" w:type="dxa"/>
          <w:bottom w:w="0" w:type="dxa"/>
          <w:right w:w="57" w:type="dxa"/>
        </w:tblCellMar>
      </w:tblPr>
      <w:tblGrid>
        <w:gridCol w:w="544"/>
        <w:gridCol w:w="1463"/>
        <w:gridCol w:w="1509"/>
        <w:gridCol w:w="1509"/>
        <w:gridCol w:w="1466"/>
        <w:gridCol w:w="1438"/>
        <w:gridCol w:w="1564"/>
      </w:tblGrid>
      <w:tr>
        <w:tblPrEx>
          <w:tblLayout w:type="fixed"/>
          <w:tblCellMar>
            <w:top w:w="0" w:type="dxa"/>
            <w:left w:w="57" w:type="dxa"/>
            <w:bottom w:w="0" w:type="dxa"/>
            <w:right w:w="57" w:type="dxa"/>
          </w:tblCellMar>
        </w:tblPrEx>
        <w:tc>
          <w:tcPr>
            <w:tcW w:w="544" w:type="dxa"/>
            <w:tcBorders>
              <w:top w:val="single" w:color="auto" w:sz="4" w:space="0"/>
              <w:left w:val="single" w:color="auto" w:sz="4" w:space="0"/>
            </w:tcBorders>
            <w:shd w:val="clear" w:color="auto" w:fill="FFFFFF"/>
            <w:vAlign w:val="center"/>
          </w:tcPr>
          <w:p>
            <w:pPr>
              <w:jc w:val="center"/>
              <w:rPr>
                <w:szCs w:val="21"/>
              </w:rPr>
            </w:pPr>
            <w:r>
              <w:rPr>
                <w:szCs w:val="21"/>
              </w:rPr>
              <w:t>编号</w:t>
            </w:r>
          </w:p>
        </w:tc>
        <w:tc>
          <w:tcPr>
            <w:tcW w:w="1463" w:type="dxa"/>
            <w:tcBorders>
              <w:top w:val="single" w:color="auto" w:sz="4" w:space="0"/>
              <w:left w:val="single" w:color="auto" w:sz="4" w:space="0"/>
            </w:tcBorders>
            <w:shd w:val="clear" w:color="auto" w:fill="FFFFFF"/>
            <w:vAlign w:val="center"/>
          </w:tcPr>
          <w:p>
            <w:pPr>
              <w:jc w:val="center"/>
              <w:rPr>
                <w:szCs w:val="21"/>
              </w:rPr>
            </w:pPr>
            <w:r>
              <w:rPr>
                <w:szCs w:val="21"/>
              </w:rPr>
              <w:t>PAH</w:t>
            </w:r>
            <w:r>
              <w:rPr>
                <w:rFonts w:hint="eastAsia"/>
                <w:szCs w:val="21"/>
                <w:lang w:val="en-US" w:eastAsia="zh-CN"/>
              </w:rPr>
              <w:t>s标准混合溶液</w:t>
            </w:r>
            <w:r>
              <w:rPr>
                <w:szCs w:val="21"/>
              </w:rPr>
              <w:t>体积</w:t>
            </w:r>
          </w:p>
          <w:p>
            <w:pPr>
              <w:jc w:val="center"/>
              <w:rPr>
                <w:rFonts w:hint="eastAsia" w:eastAsia="宋体"/>
                <w:szCs w:val="21"/>
                <w:lang w:eastAsia="zh-CN"/>
              </w:rPr>
            </w:pPr>
            <w:r>
              <w:rPr>
                <w:szCs w:val="21"/>
              </w:rPr>
              <w:t>m</w:t>
            </w:r>
            <w:r>
              <w:rPr>
                <w:rFonts w:hint="eastAsia"/>
                <w:szCs w:val="21"/>
                <w:lang w:eastAsia="zh-CN"/>
              </w:rPr>
              <w:t>L</w:t>
            </w:r>
          </w:p>
          <w:p>
            <w:pPr>
              <w:jc w:val="center"/>
              <w:rPr>
                <w:szCs w:val="21"/>
              </w:rPr>
            </w:pPr>
            <w:r>
              <w:rPr>
                <w:szCs w:val="21"/>
              </w:rPr>
              <w:t>（ 8.4.3</w:t>
            </w:r>
            <w:r>
              <w:rPr>
                <w:rFonts w:hint="eastAsia"/>
                <w:szCs w:val="21"/>
                <w:lang w:val="en-US" w:eastAsia="zh-CN"/>
              </w:rPr>
              <w:t>.</w:t>
            </w:r>
            <w:r>
              <w:rPr>
                <w:szCs w:val="21"/>
              </w:rPr>
              <w:t xml:space="preserve"> b））</w:t>
            </w:r>
          </w:p>
        </w:tc>
        <w:tc>
          <w:tcPr>
            <w:tcW w:w="1509" w:type="dxa"/>
            <w:tcBorders>
              <w:top w:val="single" w:color="auto" w:sz="4" w:space="0"/>
              <w:left w:val="single" w:color="auto" w:sz="4" w:space="0"/>
            </w:tcBorders>
            <w:shd w:val="clear" w:color="auto" w:fill="FFFFFF"/>
            <w:vAlign w:val="center"/>
          </w:tcPr>
          <w:p>
            <w:pPr>
              <w:jc w:val="center"/>
              <w:rPr>
                <w:rFonts w:hint="eastAsia"/>
                <w:sz w:val="18"/>
                <w:szCs w:val="18"/>
                <w:lang w:val="en-US" w:eastAsia="zh-CN"/>
              </w:rPr>
            </w:pPr>
            <w:r>
              <w:rPr>
                <w:rFonts w:hint="eastAsia"/>
                <w:sz w:val="18"/>
                <w:szCs w:val="18"/>
                <w:lang w:val="en-US" w:eastAsia="zh-CN"/>
              </w:rPr>
              <w:t>标记物溶液</w:t>
            </w:r>
          </w:p>
          <w:p>
            <w:pPr>
              <w:jc w:val="center"/>
              <w:rPr>
                <w:sz w:val="18"/>
                <w:szCs w:val="18"/>
              </w:rPr>
            </w:pPr>
            <w:r>
              <w:rPr>
                <w:sz w:val="18"/>
                <w:szCs w:val="18"/>
              </w:rPr>
              <w:t>体积</w:t>
            </w:r>
          </w:p>
          <w:p>
            <w:pPr>
              <w:jc w:val="center"/>
              <w:rPr>
                <w:rFonts w:hint="eastAsia" w:eastAsia="宋体"/>
                <w:sz w:val="18"/>
                <w:szCs w:val="18"/>
                <w:lang w:eastAsia="zh-CN"/>
              </w:rPr>
            </w:pPr>
            <w:r>
              <w:rPr>
                <w:sz w:val="18"/>
                <w:szCs w:val="18"/>
              </w:rPr>
              <w:t>m</w:t>
            </w:r>
            <w:r>
              <w:rPr>
                <w:rFonts w:hint="eastAsia"/>
                <w:sz w:val="18"/>
                <w:szCs w:val="18"/>
                <w:lang w:eastAsia="zh-CN"/>
              </w:rPr>
              <w:t>L</w:t>
            </w:r>
          </w:p>
          <w:p>
            <w:pPr>
              <w:jc w:val="center"/>
              <w:rPr>
                <w:szCs w:val="21"/>
              </w:rPr>
            </w:pPr>
            <w:r>
              <w:rPr>
                <w:rFonts w:hint="eastAsia"/>
                <w:sz w:val="18"/>
                <w:szCs w:val="18"/>
                <w:lang w:val="en-US" w:eastAsia="zh-CN"/>
              </w:rPr>
              <w:t>(20mg/L)</w:t>
            </w:r>
          </w:p>
        </w:tc>
        <w:tc>
          <w:tcPr>
            <w:tcW w:w="1509" w:type="dxa"/>
            <w:tcBorders>
              <w:top w:val="single" w:color="auto" w:sz="4" w:space="0"/>
              <w:left w:val="single" w:color="auto" w:sz="4" w:space="0"/>
            </w:tcBorders>
            <w:shd w:val="clear" w:color="auto" w:fill="FFFFFF"/>
            <w:vAlign w:val="center"/>
          </w:tcPr>
          <w:p>
            <w:pPr>
              <w:jc w:val="center"/>
              <w:rPr>
                <w:szCs w:val="21"/>
              </w:rPr>
            </w:pPr>
            <w:r>
              <w:rPr>
                <w:szCs w:val="21"/>
              </w:rPr>
              <w:t>内标物体积</w:t>
            </w:r>
          </w:p>
          <w:p>
            <w:pPr>
              <w:jc w:val="center"/>
              <w:rPr>
                <w:rFonts w:hint="eastAsia" w:eastAsia="宋体"/>
                <w:szCs w:val="21"/>
                <w:lang w:eastAsia="zh-CN"/>
              </w:rPr>
            </w:pPr>
            <w:r>
              <w:rPr>
                <w:szCs w:val="21"/>
              </w:rPr>
              <w:t>m</w:t>
            </w:r>
            <w:r>
              <w:rPr>
                <w:rFonts w:hint="eastAsia"/>
                <w:szCs w:val="21"/>
                <w:lang w:eastAsia="zh-CN"/>
              </w:rPr>
              <w:t>L</w:t>
            </w:r>
          </w:p>
          <w:p>
            <w:pPr>
              <w:jc w:val="center"/>
              <w:rPr>
                <w:szCs w:val="21"/>
              </w:rPr>
            </w:pPr>
            <w:r>
              <w:rPr>
                <w:szCs w:val="21"/>
              </w:rPr>
              <w:t>（ 8.4.4</w:t>
            </w:r>
            <w:r>
              <w:rPr>
                <w:rFonts w:hint="eastAsia"/>
                <w:szCs w:val="21"/>
                <w:lang w:val="en-US" w:eastAsia="zh-CN"/>
              </w:rPr>
              <w:t>.</w:t>
            </w:r>
            <w:r>
              <w:rPr>
                <w:szCs w:val="21"/>
              </w:rPr>
              <w:t xml:space="preserve"> c））</w:t>
            </w:r>
          </w:p>
        </w:tc>
        <w:tc>
          <w:tcPr>
            <w:tcW w:w="1466" w:type="dxa"/>
            <w:tcBorders>
              <w:top w:val="single" w:color="auto" w:sz="4" w:space="0"/>
              <w:left w:val="single" w:color="auto" w:sz="4" w:space="0"/>
            </w:tcBorders>
            <w:shd w:val="clear" w:color="auto" w:fill="FFFFFF"/>
            <w:vAlign w:val="center"/>
          </w:tcPr>
          <w:p>
            <w:pPr>
              <w:jc w:val="center"/>
              <w:rPr>
                <w:szCs w:val="21"/>
              </w:rPr>
            </w:pPr>
            <w:r>
              <w:rPr>
                <w:szCs w:val="21"/>
              </w:rPr>
              <w:t>最终体积</w:t>
            </w:r>
          </w:p>
          <w:p>
            <w:pPr>
              <w:jc w:val="center"/>
              <w:rPr>
                <w:rFonts w:hint="eastAsia" w:eastAsia="宋体"/>
                <w:szCs w:val="21"/>
                <w:lang w:eastAsia="zh-CN"/>
              </w:rPr>
            </w:pPr>
            <w:r>
              <w:rPr>
                <w:szCs w:val="21"/>
              </w:rPr>
              <w:t>m</w:t>
            </w:r>
            <w:r>
              <w:rPr>
                <w:rFonts w:hint="eastAsia"/>
                <w:szCs w:val="21"/>
                <w:lang w:eastAsia="zh-CN"/>
              </w:rPr>
              <w:t>L</w:t>
            </w:r>
          </w:p>
        </w:tc>
        <w:tc>
          <w:tcPr>
            <w:tcW w:w="1438" w:type="dxa"/>
            <w:tcBorders>
              <w:top w:val="single" w:color="auto" w:sz="4" w:space="0"/>
              <w:left w:val="single" w:color="auto" w:sz="4" w:space="0"/>
            </w:tcBorders>
            <w:shd w:val="clear" w:color="auto" w:fill="FFFFFF"/>
            <w:vAlign w:val="center"/>
          </w:tcPr>
          <w:p>
            <w:pPr>
              <w:jc w:val="center"/>
              <w:rPr>
                <w:szCs w:val="21"/>
              </w:rPr>
            </w:pPr>
            <w:r>
              <w:rPr>
                <w:i/>
                <w:iCs/>
                <w:szCs w:val="21"/>
              </w:rPr>
              <w:t>c</w:t>
            </w:r>
          </w:p>
          <w:p>
            <w:pPr>
              <w:jc w:val="center"/>
              <w:rPr>
                <w:szCs w:val="21"/>
              </w:rPr>
            </w:pPr>
            <w:r>
              <w:rPr>
                <w:szCs w:val="21"/>
              </w:rPr>
              <w:t>（PAH）</w:t>
            </w:r>
          </w:p>
          <w:p>
            <w:pPr>
              <w:jc w:val="center"/>
              <w:rPr>
                <w:rFonts w:hint="eastAsia" w:eastAsia="宋体"/>
                <w:szCs w:val="21"/>
                <w:lang w:eastAsia="zh-CN"/>
              </w:rPr>
            </w:pPr>
            <w:r>
              <w:rPr>
                <w:szCs w:val="21"/>
              </w:rPr>
              <w:t>μg/m</w:t>
            </w:r>
            <w:r>
              <w:rPr>
                <w:rFonts w:hint="eastAsia"/>
                <w:szCs w:val="21"/>
                <w:lang w:eastAsia="zh-CN"/>
              </w:rPr>
              <w:t>L</w:t>
            </w:r>
          </w:p>
        </w:tc>
        <w:tc>
          <w:tcPr>
            <w:tcW w:w="1564" w:type="dxa"/>
            <w:tcBorders>
              <w:top w:val="single" w:color="auto" w:sz="4" w:space="0"/>
              <w:left w:val="single" w:color="auto" w:sz="4" w:space="0"/>
              <w:right w:val="single" w:color="auto" w:sz="4" w:space="0"/>
            </w:tcBorders>
            <w:shd w:val="clear" w:color="auto" w:fill="FFFFFF"/>
            <w:vAlign w:val="center"/>
          </w:tcPr>
          <w:p>
            <w:pPr>
              <w:jc w:val="center"/>
              <w:rPr>
                <w:szCs w:val="21"/>
              </w:rPr>
            </w:pPr>
            <w:r>
              <w:rPr>
                <w:i/>
                <w:iCs/>
                <w:szCs w:val="21"/>
              </w:rPr>
              <w:t>c</w:t>
            </w:r>
          </w:p>
          <w:p>
            <w:pPr>
              <w:jc w:val="center"/>
              <w:rPr>
                <w:szCs w:val="21"/>
              </w:rPr>
            </w:pPr>
            <w:r>
              <w:rPr>
                <w:szCs w:val="21"/>
              </w:rPr>
              <w:t>（</w:t>
            </w:r>
            <w:r>
              <w:rPr>
                <w:rFonts w:hint="eastAsia"/>
                <w:szCs w:val="21"/>
                <w:lang w:eastAsia="zh-CN"/>
              </w:rPr>
              <w:t>标记物</w:t>
            </w:r>
            <w:r>
              <w:rPr>
                <w:szCs w:val="21"/>
              </w:rPr>
              <w:t>）</w:t>
            </w:r>
          </w:p>
          <w:p>
            <w:pPr>
              <w:jc w:val="center"/>
              <w:rPr>
                <w:rFonts w:hint="eastAsia" w:eastAsia="宋体"/>
                <w:szCs w:val="21"/>
                <w:lang w:eastAsia="zh-CN"/>
              </w:rPr>
            </w:pPr>
            <w:r>
              <w:rPr>
                <w:szCs w:val="21"/>
              </w:rPr>
              <w:t>μg/m</w:t>
            </w:r>
            <w:r>
              <w:rPr>
                <w:rFonts w:hint="eastAsia"/>
                <w:szCs w:val="21"/>
                <w:lang w:eastAsia="zh-CN"/>
              </w:rPr>
              <w:t>L</w:t>
            </w:r>
          </w:p>
        </w:tc>
      </w:tr>
      <w:tr>
        <w:tblPrEx>
          <w:tblLayout w:type="fixed"/>
          <w:tblCellMar>
            <w:top w:w="0" w:type="dxa"/>
            <w:left w:w="57" w:type="dxa"/>
            <w:bottom w:w="0" w:type="dxa"/>
            <w:right w:w="57" w:type="dxa"/>
          </w:tblCellMar>
        </w:tblPrEx>
        <w:tc>
          <w:tcPr>
            <w:tcW w:w="544" w:type="dxa"/>
            <w:tcBorders>
              <w:top w:val="single" w:color="auto" w:sz="4" w:space="0"/>
              <w:left w:val="single" w:color="auto" w:sz="4" w:space="0"/>
            </w:tcBorders>
            <w:shd w:val="clear" w:color="auto" w:fill="FFFFFF"/>
            <w:vAlign w:val="center"/>
          </w:tcPr>
          <w:p>
            <w:pPr>
              <w:jc w:val="center"/>
              <w:rPr>
                <w:szCs w:val="21"/>
              </w:rPr>
            </w:pPr>
            <w:r>
              <w:rPr>
                <w:szCs w:val="21"/>
              </w:rPr>
              <w:t>1</w:t>
            </w:r>
          </w:p>
        </w:tc>
        <w:tc>
          <w:tcPr>
            <w:tcW w:w="1463"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25</w:t>
            </w:r>
          </w:p>
        </w:tc>
        <w:tc>
          <w:tcPr>
            <w:tcW w:w="1509"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25</w:t>
            </w:r>
          </w:p>
        </w:tc>
        <w:tc>
          <w:tcPr>
            <w:tcW w:w="1509"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01</w:t>
            </w:r>
          </w:p>
        </w:tc>
        <w:tc>
          <w:tcPr>
            <w:tcW w:w="1466" w:type="dxa"/>
            <w:tcBorders>
              <w:top w:val="single" w:color="auto" w:sz="4" w:space="0"/>
              <w:left w:val="single" w:color="auto" w:sz="4" w:space="0"/>
            </w:tcBorders>
            <w:shd w:val="clear" w:color="auto" w:fill="FFFFFF"/>
            <w:vAlign w:val="center"/>
          </w:tcPr>
          <w:p>
            <w:pPr>
              <w:jc w:val="center"/>
              <w:rPr>
                <w:szCs w:val="21"/>
              </w:rPr>
            </w:pPr>
            <w:r>
              <w:rPr>
                <w:szCs w:val="21"/>
              </w:rPr>
              <w:t>10</w:t>
            </w:r>
          </w:p>
        </w:tc>
        <w:tc>
          <w:tcPr>
            <w:tcW w:w="143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5</w:t>
            </w:r>
          </w:p>
        </w:tc>
        <w:tc>
          <w:tcPr>
            <w:tcW w:w="156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5</w:t>
            </w:r>
          </w:p>
        </w:tc>
      </w:tr>
      <w:tr>
        <w:tblPrEx>
          <w:tblLayout w:type="fixed"/>
          <w:tblCellMar>
            <w:top w:w="0" w:type="dxa"/>
            <w:left w:w="57" w:type="dxa"/>
            <w:bottom w:w="0" w:type="dxa"/>
            <w:right w:w="57" w:type="dxa"/>
          </w:tblCellMar>
        </w:tblPrEx>
        <w:tc>
          <w:tcPr>
            <w:tcW w:w="544" w:type="dxa"/>
            <w:tcBorders>
              <w:top w:val="single" w:color="auto" w:sz="4" w:space="0"/>
              <w:left w:val="single" w:color="auto" w:sz="4" w:space="0"/>
            </w:tcBorders>
            <w:shd w:val="clear" w:color="auto" w:fill="FFFFFF"/>
            <w:vAlign w:val="center"/>
          </w:tcPr>
          <w:p>
            <w:pPr>
              <w:jc w:val="center"/>
              <w:rPr>
                <w:szCs w:val="21"/>
              </w:rPr>
            </w:pPr>
            <w:r>
              <w:rPr>
                <w:szCs w:val="21"/>
              </w:rPr>
              <w:t>2</w:t>
            </w:r>
          </w:p>
        </w:tc>
        <w:tc>
          <w:tcPr>
            <w:tcW w:w="1463"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5</w:t>
            </w:r>
          </w:p>
        </w:tc>
        <w:tc>
          <w:tcPr>
            <w:tcW w:w="1509"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5</w:t>
            </w:r>
          </w:p>
        </w:tc>
        <w:tc>
          <w:tcPr>
            <w:tcW w:w="1509"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01</w:t>
            </w:r>
          </w:p>
        </w:tc>
        <w:tc>
          <w:tcPr>
            <w:tcW w:w="1466" w:type="dxa"/>
            <w:tcBorders>
              <w:top w:val="single" w:color="auto" w:sz="4" w:space="0"/>
              <w:left w:val="single" w:color="auto" w:sz="4" w:space="0"/>
            </w:tcBorders>
            <w:shd w:val="clear" w:color="auto" w:fill="FFFFFF"/>
            <w:vAlign w:val="center"/>
          </w:tcPr>
          <w:p>
            <w:pPr>
              <w:jc w:val="center"/>
              <w:rPr>
                <w:szCs w:val="21"/>
              </w:rPr>
            </w:pPr>
            <w:r>
              <w:rPr>
                <w:szCs w:val="21"/>
              </w:rPr>
              <w:t>10</w:t>
            </w:r>
          </w:p>
        </w:tc>
        <w:tc>
          <w:tcPr>
            <w:tcW w:w="1438" w:type="dxa"/>
            <w:tcBorders>
              <w:top w:val="single" w:color="auto" w:sz="4" w:space="0"/>
              <w:left w:val="single" w:color="auto" w:sz="4" w:space="0"/>
            </w:tcBorders>
            <w:shd w:val="clear" w:color="auto" w:fill="FFFFFF"/>
            <w:vAlign w:val="center"/>
          </w:tcPr>
          <w:p>
            <w:pPr>
              <w:jc w:val="center"/>
              <w:rPr>
                <w:szCs w:val="21"/>
              </w:rPr>
            </w:pPr>
            <w:r>
              <w:rPr>
                <w:szCs w:val="21"/>
              </w:rPr>
              <w:t>1</w:t>
            </w:r>
          </w:p>
        </w:tc>
        <w:tc>
          <w:tcPr>
            <w:tcW w:w="156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p>
        </w:tc>
      </w:tr>
      <w:tr>
        <w:tblPrEx>
          <w:tblLayout w:type="fixed"/>
          <w:tblCellMar>
            <w:top w:w="0" w:type="dxa"/>
            <w:left w:w="57" w:type="dxa"/>
            <w:bottom w:w="0" w:type="dxa"/>
            <w:right w:w="57" w:type="dxa"/>
          </w:tblCellMar>
        </w:tblPrEx>
        <w:tc>
          <w:tcPr>
            <w:tcW w:w="544" w:type="dxa"/>
            <w:tcBorders>
              <w:top w:val="single" w:color="auto" w:sz="4" w:space="0"/>
              <w:left w:val="single" w:color="auto" w:sz="4" w:space="0"/>
            </w:tcBorders>
            <w:shd w:val="clear" w:color="auto" w:fill="FFFFFF"/>
            <w:vAlign w:val="center"/>
          </w:tcPr>
          <w:p>
            <w:pPr>
              <w:jc w:val="center"/>
              <w:rPr>
                <w:szCs w:val="21"/>
              </w:rPr>
            </w:pPr>
            <w:r>
              <w:rPr>
                <w:szCs w:val="21"/>
              </w:rPr>
              <w:t>3</w:t>
            </w:r>
          </w:p>
        </w:tc>
        <w:tc>
          <w:tcPr>
            <w:tcW w:w="1463"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0</w:t>
            </w:r>
          </w:p>
        </w:tc>
        <w:tc>
          <w:tcPr>
            <w:tcW w:w="1509"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0</w:t>
            </w:r>
          </w:p>
        </w:tc>
        <w:tc>
          <w:tcPr>
            <w:tcW w:w="1509"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01</w:t>
            </w:r>
          </w:p>
        </w:tc>
        <w:tc>
          <w:tcPr>
            <w:tcW w:w="1466" w:type="dxa"/>
            <w:tcBorders>
              <w:top w:val="single" w:color="auto" w:sz="4" w:space="0"/>
              <w:left w:val="single" w:color="auto" w:sz="4" w:space="0"/>
            </w:tcBorders>
            <w:shd w:val="clear" w:color="auto" w:fill="FFFFFF"/>
            <w:vAlign w:val="center"/>
          </w:tcPr>
          <w:p>
            <w:pPr>
              <w:jc w:val="center"/>
              <w:rPr>
                <w:szCs w:val="21"/>
              </w:rPr>
            </w:pPr>
            <w:r>
              <w:rPr>
                <w:szCs w:val="21"/>
              </w:rPr>
              <w:t>10</w:t>
            </w:r>
          </w:p>
        </w:tc>
        <w:tc>
          <w:tcPr>
            <w:tcW w:w="1438" w:type="dxa"/>
            <w:tcBorders>
              <w:top w:val="single" w:color="auto" w:sz="4" w:space="0"/>
              <w:left w:val="single" w:color="auto" w:sz="4" w:space="0"/>
            </w:tcBorders>
            <w:shd w:val="clear" w:color="auto" w:fill="FFFFFF"/>
            <w:vAlign w:val="center"/>
          </w:tcPr>
          <w:p>
            <w:pPr>
              <w:jc w:val="center"/>
              <w:rPr>
                <w:szCs w:val="21"/>
              </w:rPr>
            </w:pPr>
            <w:r>
              <w:rPr>
                <w:szCs w:val="21"/>
              </w:rPr>
              <w:t>2</w:t>
            </w:r>
          </w:p>
        </w:tc>
        <w:tc>
          <w:tcPr>
            <w:tcW w:w="156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w:t>
            </w:r>
          </w:p>
        </w:tc>
      </w:tr>
      <w:tr>
        <w:tblPrEx>
          <w:tblLayout w:type="fixed"/>
          <w:tblCellMar>
            <w:top w:w="0" w:type="dxa"/>
            <w:left w:w="57" w:type="dxa"/>
            <w:bottom w:w="0" w:type="dxa"/>
            <w:right w:w="57" w:type="dxa"/>
          </w:tblCellMar>
        </w:tblPrEx>
        <w:tc>
          <w:tcPr>
            <w:tcW w:w="544" w:type="dxa"/>
            <w:tcBorders>
              <w:top w:val="single" w:color="auto" w:sz="4" w:space="0"/>
              <w:left w:val="single" w:color="auto" w:sz="4" w:space="0"/>
            </w:tcBorders>
            <w:shd w:val="clear" w:color="auto" w:fill="FFFFFF"/>
            <w:vAlign w:val="center"/>
          </w:tcPr>
          <w:p>
            <w:pPr>
              <w:jc w:val="center"/>
              <w:rPr>
                <w:szCs w:val="21"/>
              </w:rPr>
            </w:pPr>
            <w:r>
              <w:rPr>
                <w:szCs w:val="21"/>
              </w:rPr>
              <w:t>4</w:t>
            </w:r>
          </w:p>
        </w:tc>
        <w:tc>
          <w:tcPr>
            <w:tcW w:w="1463" w:type="dxa"/>
            <w:tcBorders>
              <w:top w:val="single" w:color="auto" w:sz="4" w:space="0"/>
              <w:lef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0</w:t>
            </w:r>
          </w:p>
        </w:tc>
        <w:tc>
          <w:tcPr>
            <w:tcW w:w="1509" w:type="dxa"/>
            <w:tcBorders>
              <w:top w:val="single" w:color="auto" w:sz="4" w:space="0"/>
              <w:lef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0</w:t>
            </w:r>
          </w:p>
        </w:tc>
        <w:tc>
          <w:tcPr>
            <w:tcW w:w="1509"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01</w:t>
            </w:r>
          </w:p>
        </w:tc>
        <w:tc>
          <w:tcPr>
            <w:tcW w:w="1466" w:type="dxa"/>
            <w:tcBorders>
              <w:top w:val="single" w:color="auto" w:sz="4" w:space="0"/>
              <w:left w:val="single" w:color="auto" w:sz="4" w:space="0"/>
            </w:tcBorders>
            <w:shd w:val="clear" w:color="auto" w:fill="FFFFFF"/>
            <w:vAlign w:val="center"/>
          </w:tcPr>
          <w:p>
            <w:pPr>
              <w:jc w:val="center"/>
              <w:rPr>
                <w:szCs w:val="21"/>
              </w:rPr>
            </w:pPr>
            <w:r>
              <w:rPr>
                <w:szCs w:val="21"/>
              </w:rPr>
              <w:t>10</w:t>
            </w:r>
          </w:p>
        </w:tc>
        <w:tc>
          <w:tcPr>
            <w:tcW w:w="1438" w:type="dxa"/>
            <w:tcBorders>
              <w:top w:val="single" w:color="auto" w:sz="4" w:space="0"/>
              <w:left w:val="single" w:color="auto" w:sz="4" w:space="0"/>
            </w:tcBorders>
            <w:shd w:val="clear" w:color="auto" w:fill="FFFFFF"/>
            <w:vAlign w:val="center"/>
          </w:tcPr>
          <w:p>
            <w:pPr>
              <w:jc w:val="center"/>
              <w:rPr>
                <w:szCs w:val="21"/>
              </w:rPr>
            </w:pPr>
            <w:r>
              <w:rPr>
                <w:szCs w:val="21"/>
              </w:rPr>
              <w:t>4</w:t>
            </w:r>
          </w:p>
        </w:tc>
        <w:tc>
          <w:tcPr>
            <w:tcW w:w="156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5</w:t>
            </w:r>
          </w:p>
        </w:tc>
      </w:tr>
      <w:tr>
        <w:tblPrEx>
          <w:tblLayout w:type="fixed"/>
          <w:tblCellMar>
            <w:top w:w="0" w:type="dxa"/>
            <w:left w:w="57" w:type="dxa"/>
            <w:bottom w:w="0" w:type="dxa"/>
            <w:right w:w="57" w:type="dxa"/>
          </w:tblCellMar>
        </w:tblPrEx>
        <w:tc>
          <w:tcPr>
            <w:tcW w:w="544"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5</w:t>
            </w:r>
          </w:p>
        </w:tc>
        <w:tc>
          <w:tcPr>
            <w:tcW w:w="1463"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5</w:t>
            </w:r>
            <w:r>
              <w:rPr>
                <w:rFonts w:hint="eastAsia"/>
                <w:szCs w:val="21"/>
                <w:lang w:eastAsia="zh-CN"/>
              </w:rPr>
              <w:t>.</w:t>
            </w:r>
            <w:r>
              <w:rPr>
                <w:szCs w:val="21"/>
              </w:rPr>
              <w:t>0</w:t>
            </w:r>
          </w:p>
        </w:tc>
        <w:tc>
          <w:tcPr>
            <w:tcW w:w="1509"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5</w:t>
            </w:r>
            <w:r>
              <w:rPr>
                <w:rFonts w:hint="eastAsia"/>
                <w:szCs w:val="21"/>
                <w:lang w:eastAsia="zh-CN"/>
              </w:rPr>
              <w:t>.</w:t>
            </w:r>
            <w:r>
              <w:rPr>
                <w:szCs w:val="21"/>
              </w:rPr>
              <w:t>0</w:t>
            </w:r>
          </w:p>
        </w:tc>
        <w:tc>
          <w:tcPr>
            <w:tcW w:w="1509"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01</w:t>
            </w:r>
          </w:p>
        </w:tc>
        <w:tc>
          <w:tcPr>
            <w:tcW w:w="1466"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10</w:t>
            </w:r>
          </w:p>
        </w:tc>
        <w:tc>
          <w:tcPr>
            <w:tcW w:w="1438"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10</w:t>
            </w:r>
          </w:p>
        </w:tc>
        <w:tc>
          <w:tcPr>
            <w:tcW w:w="156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szCs w:val="21"/>
              </w:rPr>
            </w:pPr>
            <w:r>
              <w:rPr>
                <w:szCs w:val="21"/>
              </w:rPr>
              <w:t>10</w:t>
            </w:r>
          </w:p>
        </w:tc>
      </w:tr>
    </w:tbl>
    <w:p>
      <w:pPr>
        <w:rPr>
          <w:i w:val="0"/>
          <w:iCs w:val="0"/>
          <w:szCs w:val="21"/>
        </w:rPr>
      </w:pPr>
      <w:r>
        <w:rPr>
          <w:rFonts w:hint="eastAsia"/>
          <w:szCs w:val="21"/>
          <w:lang w:val="en-US" w:eastAsia="zh-CN"/>
        </w:rPr>
        <w:t xml:space="preserve">    </w:t>
      </w:r>
      <w:r>
        <w:rPr>
          <w:szCs w:val="21"/>
        </w:rPr>
        <w:t>内标物用于校正进样误差。</w:t>
      </w:r>
      <w:r>
        <w:rPr>
          <w:i w:val="0"/>
          <w:iCs w:val="0"/>
          <w:szCs w:val="21"/>
          <w:lang w:val="zh-CN"/>
        </w:rPr>
        <w:t>因此</w:t>
      </w:r>
      <w:r>
        <w:rPr>
          <w:i w:val="0"/>
          <w:iCs w:val="0"/>
          <w:szCs w:val="21"/>
        </w:rPr>
        <w:t>，</w:t>
      </w:r>
      <w:r>
        <w:rPr>
          <w:i w:val="0"/>
          <w:iCs w:val="0"/>
          <w:szCs w:val="21"/>
          <w:lang w:val="zh-CN"/>
        </w:rPr>
        <w:t>通过</w:t>
      </w:r>
      <w:r>
        <w:rPr>
          <w:i w:val="0"/>
          <w:iCs w:val="0"/>
          <w:szCs w:val="21"/>
        </w:rPr>
        <w:t>A/A</w:t>
      </w:r>
      <w:r>
        <w:rPr>
          <w:i w:val="0"/>
          <w:iCs w:val="0"/>
          <w:szCs w:val="21"/>
          <w:vertAlign w:val="subscript"/>
        </w:rPr>
        <w:t>IS</w:t>
      </w:r>
      <w:r>
        <w:rPr>
          <w:i w:val="0"/>
          <w:iCs w:val="0"/>
          <w:szCs w:val="21"/>
          <w:lang w:val="zh-CN"/>
        </w:rPr>
        <w:t>评估</w:t>
      </w:r>
      <w:r>
        <w:rPr>
          <w:i w:val="0"/>
          <w:iCs w:val="0"/>
          <w:szCs w:val="21"/>
        </w:rPr>
        <w:t>响应因子或比率。</w:t>
      </w:r>
    </w:p>
    <w:p>
      <w:pPr>
        <w:rPr>
          <w:i w:val="0"/>
          <w:iCs w:val="0"/>
          <w:szCs w:val="21"/>
        </w:rPr>
      </w:pPr>
      <w:r>
        <w:rPr>
          <w:rFonts w:hint="eastAsia"/>
          <w:i w:val="0"/>
          <w:iCs w:val="0"/>
          <w:szCs w:val="21"/>
          <w:lang w:val="en-US" w:eastAsia="zh-CN"/>
        </w:rPr>
        <w:t xml:space="preserve">    </w:t>
      </w:r>
      <w:r>
        <w:rPr>
          <w:i w:val="0"/>
          <w:iCs w:val="0"/>
          <w:szCs w:val="21"/>
          <w:lang w:val="zh-CN"/>
        </w:rPr>
        <w:t>为了得到校准</w:t>
      </w:r>
      <w:r>
        <w:rPr>
          <w:rFonts w:hint="eastAsia"/>
          <w:i w:val="0"/>
          <w:iCs w:val="0"/>
          <w:szCs w:val="21"/>
          <w:lang w:val="en-US" w:eastAsia="zh-CN"/>
        </w:rPr>
        <w:t>曲</w:t>
      </w:r>
      <w:r>
        <w:rPr>
          <w:i w:val="0"/>
          <w:iCs w:val="0"/>
          <w:szCs w:val="21"/>
          <w:lang w:val="zh-CN"/>
        </w:rPr>
        <w:t>线</w:t>
      </w:r>
      <w:r>
        <w:rPr>
          <w:i w:val="0"/>
          <w:iCs w:val="0"/>
          <w:szCs w:val="21"/>
        </w:rPr>
        <w:t>，</w:t>
      </w:r>
      <w:r>
        <w:rPr>
          <w:i w:val="0"/>
          <w:iCs w:val="0"/>
          <w:szCs w:val="21"/>
          <w:lang w:val="zh-CN"/>
        </w:rPr>
        <w:t>根据浓度比率</w:t>
      </w:r>
      <w:r>
        <w:rPr>
          <w:i w:val="0"/>
          <w:iCs w:val="0"/>
          <w:szCs w:val="21"/>
        </w:rPr>
        <w:t>C/C</w:t>
      </w:r>
      <w:r>
        <w:rPr>
          <w:i w:val="0"/>
          <w:iCs w:val="0"/>
          <w:szCs w:val="21"/>
          <w:vertAlign w:val="subscript"/>
        </w:rPr>
        <w:t>IS</w:t>
      </w:r>
      <w:r>
        <w:rPr>
          <w:i w:val="0"/>
          <w:iCs w:val="0"/>
          <w:szCs w:val="21"/>
        </w:rPr>
        <w:t>绘制A/A</w:t>
      </w:r>
      <w:r>
        <w:rPr>
          <w:i w:val="0"/>
          <w:iCs w:val="0"/>
          <w:szCs w:val="21"/>
          <w:vertAlign w:val="subscript"/>
        </w:rPr>
        <w:t>IS</w:t>
      </w:r>
      <w:r>
        <w:rPr>
          <w:i w:val="0"/>
          <w:iCs w:val="0"/>
          <w:szCs w:val="21"/>
        </w:rPr>
        <w:t>图。</w:t>
      </w:r>
    </w:p>
    <w:p>
      <w:pPr>
        <w:rPr>
          <w:szCs w:val="21"/>
        </w:rPr>
      </w:pPr>
      <w:r>
        <w:rPr>
          <w:rFonts w:hint="eastAsia"/>
          <w:szCs w:val="21"/>
          <w:lang w:val="en-US" w:eastAsia="zh-CN"/>
        </w:rPr>
        <w:t xml:space="preserve">    </w:t>
      </w:r>
      <w:r>
        <w:rPr>
          <w:szCs w:val="21"/>
        </w:rPr>
        <w:t>使用</w:t>
      </w:r>
      <w:r>
        <w:rPr>
          <w:rFonts w:hint="eastAsia"/>
          <w:szCs w:val="21"/>
          <w:lang w:val="en-US" w:eastAsia="zh-CN"/>
        </w:rPr>
        <w:t>公式</w:t>
      </w:r>
      <w:r>
        <w:rPr>
          <w:szCs w:val="21"/>
        </w:rPr>
        <w:t>（1）</w:t>
      </w:r>
      <w:r>
        <w:rPr>
          <w:rFonts w:hint="eastAsia"/>
          <w:szCs w:val="21"/>
          <w:lang w:val="en-US" w:eastAsia="zh-CN"/>
        </w:rPr>
        <w:t>计算</w:t>
      </w:r>
      <w:r>
        <w:rPr>
          <w:szCs w:val="21"/>
        </w:rPr>
        <w:t>线性回归：</w:t>
      </w:r>
    </w:p>
    <w:p>
      <w:pPr>
        <w:tabs>
          <w:tab w:val="left" w:pos="4678"/>
        </w:tabs>
        <w:adjustRightInd w:val="0"/>
        <w:snapToGrid w:val="0"/>
        <w:spacing w:before="156" w:beforeLines="50" w:after="156" w:afterLines="50"/>
        <w:jc w:val="right"/>
        <w:rPr>
          <w:rFonts w:eastAsia="黑体"/>
          <w:szCs w:val="21"/>
        </w:rPr>
      </w:pPr>
      <m:oMath>
        <m:f>
          <m:fPr>
            <m:ctrlPr>
              <w:rPr>
                <w:rFonts w:ascii="Cambria Math" w:hAnsi="Cambria Math" w:eastAsia="黑体"/>
                <w:i/>
                <w:iCs/>
                <w:szCs w:val="21"/>
              </w:rPr>
            </m:ctrlPr>
          </m:fPr>
          <m:num>
            <m:r>
              <w:rPr>
                <w:rFonts w:ascii="Cambria Math" w:hAnsi="Cambria Math" w:eastAsia="黑体"/>
                <w:szCs w:val="21"/>
              </w:rPr>
              <m:t>A</m:t>
            </m:r>
            <m:ctrlPr>
              <w:rPr>
                <w:rFonts w:ascii="Cambria Math" w:hAnsi="Cambria Math" w:eastAsia="黑体"/>
                <w:i/>
                <w:iCs/>
                <w:szCs w:val="21"/>
              </w:rPr>
            </m:ctrlPr>
          </m:num>
          <m:den>
            <m:sSub>
              <m:sSubPr>
                <m:ctrlPr>
                  <w:rPr>
                    <w:rFonts w:ascii="Cambria Math" w:hAnsi="Cambria Math" w:eastAsia="黑体"/>
                    <w:i/>
                    <w:iCs/>
                    <w:szCs w:val="21"/>
                  </w:rPr>
                </m:ctrlPr>
              </m:sSubPr>
              <m:e>
                <m:r>
                  <w:rPr>
                    <w:rFonts w:ascii="Cambria Math" w:hAnsi="Cambria Math" w:eastAsia="黑体"/>
                    <w:szCs w:val="21"/>
                  </w:rPr>
                  <m:t>A</m:t>
                </m:r>
                <m:ctrlPr>
                  <w:rPr>
                    <w:rFonts w:ascii="Cambria Math" w:hAnsi="Cambria Math" w:eastAsia="黑体"/>
                    <w:i/>
                    <w:iCs/>
                    <w:szCs w:val="21"/>
                  </w:rPr>
                </m:ctrlPr>
              </m:e>
              <m:sub>
                <m:r>
                  <w:rPr>
                    <w:rFonts w:ascii="Cambria Math" w:hAnsi="Cambria Math" w:eastAsia="黑体"/>
                    <w:szCs w:val="21"/>
                  </w:rPr>
                  <m:t>IS</m:t>
                </m:r>
                <m:ctrlPr>
                  <w:rPr>
                    <w:rFonts w:ascii="Cambria Math" w:hAnsi="Cambria Math" w:eastAsia="黑体"/>
                    <w:i/>
                    <w:iCs/>
                    <w:szCs w:val="21"/>
                  </w:rPr>
                </m:ctrlPr>
              </m:sub>
            </m:sSub>
            <m:ctrlPr>
              <w:rPr>
                <w:rFonts w:ascii="Cambria Math" w:hAnsi="Cambria Math" w:eastAsia="黑体"/>
                <w:i/>
                <w:iCs/>
                <w:szCs w:val="21"/>
              </w:rPr>
            </m:ctrlPr>
          </m:den>
        </m:f>
        <m:r>
          <w:rPr>
            <w:rFonts w:ascii="Cambria Math" w:hAnsi="Cambria Math" w:eastAsia="黑体"/>
            <w:szCs w:val="21"/>
          </w:rPr>
          <m:t>=a×</m:t>
        </m:r>
        <m:f>
          <m:fPr>
            <m:ctrlPr>
              <w:rPr>
                <w:rFonts w:ascii="Cambria Math" w:hAnsi="Cambria Math" w:eastAsia="黑体"/>
                <w:i/>
                <w:iCs/>
                <w:szCs w:val="21"/>
              </w:rPr>
            </m:ctrlPr>
          </m:fPr>
          <m:num>
            <m:r>
              <w:rPr>
                <w:rFonts w:ascii="Cambria Math" w:hAnsi="Cambria Math" w:eastAsia="黑体"/>
                <w:szCs w:val="21"/>
              </w:rPr>
              <m:t>c</m:t>
            </m:r>
            <m:ctrlPr>
              <w:rPr>
                <w:rFonts w:ascii="Cambria Math" w:hAnsi="Cambria Math" w:eastAsia="黑体"/>
                <w:i/>
                <w:iCs/>
                <w:szCs w:val="21"/>
              </w:rPr>
            </m:ctrlPr>
          </m:num>
          <m:den>
            <m:sSub>
              <m:sSubPr>
                <m:ctrlPr>
                  <w:rPr>
                    <w:rFonts w:ascii="Cambria Math" w:hAnsi="Cambria Math" w:eastAsia="黑体"/>
                    <w:i/>
                    <w:iCs/>
                    <w:szCs w:val="21"/>
                  </w:rPr>
                </m:ctrlPr>
              </m:sSubPr>
              <m:e>
                <m:r>
                  <w:rPr>
                    <w:rFonts w:ascii="Cambria Math" w:hAnsi="Cambria Math" w:eastAsia="黑体"/>
                    <w:szCs w:val="21"/>
                  </w:rPr>
                  <m:t>c</m:t>
                </m:r>
                <m:ctrlPr>
                  <w:rPr>
                    <w:rFonts w:ascii="Cambria Math" w:hAnsi="Cambria Math" w:eastAsia="黑体"/>
                    <w:i/>
                    <w:iCs/>
                    <w:szCs w:val="21"/>
                  </w:rPr>
                </m:ctrlPr>
              </m:e>
              <m:sub>
                <m:r>
                  <w:rPr>
                    <w:rFonts w:ascii="Cambria Math" w:hAnsi="Cambria Math" w:eastAsia="黑体"/>
                    <w:szCs w:val="21"/>
                  </w:rPr>
                  <m:t>IS</m:t>
                </m:r>
                <m:ctrlPr>
                  <w:rPr>
                    <w:rFonts w:ascii="Cambria Math" w:hAnsi="Cambria Math" w:eastAsia="黑体"/>
                    <w:i/>
                    <w:iCs/>
                    <w:szCs w:val="21"/>
                  </w:rPr>
                </m:ctrlPr>
              </m:sub>
            </m:sSub>
            <m:ctrlPr>
              <w:rPr>
                <w:rFonts w:ascii="Cambria Math" w:hAnsi="Cambria Math" w:eastAsia="黑体"/>
                <w:i/>
                <w:iCs/>
                <w:szCs w:val="21"/>
              </w:rPr>
            </m:ctrlPr>
          </m:den>
        </m:f>
        <m:r>
          <w:rPr>
            <w:rFonts w:ascii="Cambria Math" w:hAnsi="Cambria Math" w:eastAsia="黑体"/>
            <w:szCs w:val="21"/>
          </w:rPr>
          <m:t>+b</m:t>
        </m:r>
      </m:oMath>
      <w:r>
        <w:rPr>
          <w:rFonts w:eastAsia="黑体"/>
          <w:szCs w:val="21"/>
        </w:rPr>
        <w:tab/>
      </w:r>
      <w:r>
        <w:rPr>
          <w:rFonts w:eastAsia="黑体"/>
          <w:szCs w:val="21"/>
        </w:rPr>
        <w:t>（1）</w:t>
      </w:r>
    </w:p>
    <w:p>
      <w:pPr>
        <w:ind w:firstLine="420" w:firstLineChars="200"/>
        <w:rPr>
          <w:szCs w:val="21"/>
        </w:rPr>
      </w:pPr>
      <w:r>
        <w:rPr>
          <w:szCs w:val="21"/>
        </w:rPr>
        <w:t>式中</w:t>
      </w:r>
    </w:p>
    <w:p>
      <w:pPr>
        <w:ind w:firstLine="420" w:firstLineChars="200"/>
        <w:rPr>
          <w:szCs w:val="21"/>
        </w:rPr>
      </w:pPr>
      <w:r>
        <w:rPr>
          <w:i/>
          <w:iCs/>
          <w:szCs w:val="21"/>
        </w:rPr>
        <w:t>A</w:t>
      </w:r>
      <w:r>
        <w:rPr>
          <w:rFonts w:hint="eastAsia"/>
          <w:i/>
          <w:iCs/>
          <w:szCs w:val="21"/>
          <w:lang w:val="en-US" w:eastAsia="zh-CN"/>
        </w:rPr>
        <w:t xml:space="preserve">  </w:t>
      </w:r>
      <w:r>
        <w:rPr>
          <w:rStyle w:val="207"/>
          <w:rFonts w:ascii="Times New Roman" w:hAnsi="Times New Roman" w:cs="Times New Roman" w:eastAsiaTheme="minorEastAsia"/>
          <w:color w:val="000000"/>
          <w:sz w:val="18"/>
          <w:szCs w:val="18"/>
        </w:rPr>
        <w:t>——</w:t>
      </w:r>
      <w:r>
        <w:rPr>
          <w:szCs w:val="21"/>
        </w:rPr>
        <w:t>校准溶液中PAH</w:t>
      </w:r>
      <w:r>
        <w:rPr>
          <w:rFonts w:hint="eastAsia"/>
          <w:szCs w:val="21"/>
          <w:lang w:val="en-US" w:eastAsia="zh-CN"/>
        </w:rPr>
        <w:t>s</w:t>
      </w:r>
      <w:r>
        <w:rPr>
          <w:szCs w:val="21"/>
        </w:rPr>
        <w:t>或</w:t>
      </w:r>
      <w:r>
        <w:rPr>
          <w:rFonts w:hint="eastAsia"/>
          <w:szCs w:val="21"/>
          <w:lang w:eastAsia="zh-CN"/>
        </w:rPr>
        <w:t>标记物</w:t>
      </w:r>
      <w:r>
        <w:rPr>
          <w:szCs w:val="21"/>
        </w:rPr>
        <w:t>的峰面积；</w:t>
      </w:r>
    </w:p>
    <w:p>
      <w:pPr>
        <w:ind w:firstLine="420" w:firstLineChars="200"/>
        <w:rPr>
          <w:szCs w:val="21"/>
        </w:rPr>
      </w:pPr>
      <w:r>
        <w:rPr>
          <w:i/>
          <w:iCs/>
          <w:szCs w:val="21"/>
        </w:rPr>
        <w:t>A</w:t>
      </w:r>
      <w:r>
        <w:rPr>
          <w:i/>
          <w:iCs/>
          <w:szCs w:val="21"/>
          <w:vertAlign w:val="subscript"/>
        </w:rPr>
        <w:t>IS</w:t>
      </w:r>
      <w:r>
        <w:rPr>
          <w:rFonts w:hint="eastAsia"/>
          <w:i/>
          <w:iCs/>
          <w:szCs w:val="21"/>
          <w:vertAlign w:val="subscript"/>
          <w:lang w:val="en-US" w:eastAsia="zh-CN"/>
        </w:rPr>
        <w:t xml:space="preserve"> </w:t>
      </w:r>
      <w:r>
        <w:rPr>
          <w:rStyle w:val="207"/>
          <w:rFonts w:ascii="Times New Roman" w:hAnsi="Times New Roman" w:cs="Times New Roman" w:eastAsiaTheme="minorEastAsia"/>
          <w:color w:val="000000"/>
          <w:sz w:val="18"/>
          <w:szCs w:val="18"/>
        </w:rPr>
        <w:t>——</w:t>
      </w:r>
      <w:r>
        <w:rPr>
          <w:szCs w:val="21"/>
          <w:lang w:val="zh-CN"/>
        </w:rPr>
        <w:t>内标物的峰面积</w:t>
      </w:r>
      <w:r>
        <w:rPr>
          <w:szCs w:val="21"/>
        </w:rPr>
        <w:t>；</w:t>
      </w:r>
    </w:p>
    <w:p>
      <w:pPr>
        <w:ind w:firstLine="420" w:firstLineChars="200"/>
        <w:rPr>
          <w:szCs w:val="21"/>
        </w:rPr>
      </w:pPr>
      <w:r>
        <w:rPr>
          <w:i/>
          <w:iCs/>
          <w:szCs w:val="21"/>
        </w:rPr>
        <w:t>C</w:t>
      </w:r>
      <w:r>
        <w:rPr>
          <w:rFonts w:hint="eastAsia"/>
          <w:i/>
          <w:iCs/>
          <w:szCs w:val="21"/>
          <w:lang w:val="en-US" w:eastAsia="zh-CN"/>
        </w:rPr>
        <w:t xml:space="preserve"> </w:t>
      </w:r>
      <w:r>
        <w:rPr>
          <w:rStyle w:val="207"/>
          <w:rFonts w:ascii="Times New Roman" w:hAnsi="Times New Roman" w:cs="Times New Roman" w:eastAsiaTheme="minorEastAsia"/>
          <w:color w:val="000000"/>
          <w:sz w:val="18"/>
          <w:szCs w:val="18"/>
        </w:rPr>
        <w:t>——</w:t>
      </w:r>
      <w:r>
        <w:rPr>
          <w:szCs w:val="21"/>
        </w:rPr>
        <w:t>每个PAH或同系</w:t>
      </w:r>
      <w:r>
        <w:rPr>
          <w:rFonts w:hint="eastAsia"/>
          <w:szCs w:val="21"/>
          <w:lang w:eastAsia="zh-CN"/>
        </w:rPr>
        <w:t>标记物</w:t>
      </w:r>
      <w:r>
        <w:rPr>
          <w:szCs w:val="21"/>
        </w:rPr>
        <w:t>的浓度</w:t>
      </w:r>
      <w:r>
        <w:rPr>
          <w:rFonts w:hint="eastAsia"/>
          <w:szCs w:val="21"/>
          <w:lang w:val="en-US" w:eastAsia="zh-CN"/>
        </w:rPr>
        <w:t>，单位为纳克每毫升</w:t>
      </w:r>
      <w:r>
        <w:rPr>
          <w:szCs w:val="21"/>
        </w:rPr>
        <w:t>（ng/m</w:t>
      </w:r>
      <w:r>
        <w:rPr>
          <w:rFonts w:hint="eastAsia"/>
          <w:szCs w:val="21"/>
          <w:lang w:eastAsia="zh-CN"/>
        </w:rPr>
        <w:t>L</w:t>
      </w:r>
      <w:r>
        <w:rPr>
          <w:szCs w:val="21"/>
        </w:rPr>
        <w:t>）；</w:t>
      </w:r>
    </w:p>
    <w:p>
      <w:pPr>
        <w:ind w:firstLine="420" w:firstLineChars="200"/>
        <w:rPr>
          <w:szCs w:val="21"/>
        </w:rPr>
      </w:pPr>
      <w:r>
        <w:rPr>
          <w:i/>
          <w:iCs/>
          <w:szCs w:val="21"/>
        </w:rPr>
        <w:t>C</w:t>
      </w:r>
      <w:r>
        <w:rPr>
          <w:i/>
          <w:iCs/>
          <w:szCs w:val="21"/>
          <w:vertAlign w:val="subscript"/>
        </w:rPr>
        <w:t>IS</w:t>
      </w:r>
      <w:r>
        <w:rPr>
          <w:rFonts w:hint="eastAsia"/>
          <w:i/>
          <w:iCs/>
          <w:szCs w:val="21"/>
          <w:vertAlign w:val="subscript"/>
          <w:lang w:val="en-US" w:eastAsia="zh-CN"/>
        </w:rPr>
        <w:t xml:space="preserve"> </w:t>
      </w:r>
      <w:r>
        <w:rPr>
          <w:rStyle w:val="207"/>
          <w:rFonts w:ascii="Times New Roman" w:hAnsi="Times New Roman" w:cs="Times New Roman" w:eastAsiaTheme="minorEastAsia"/>
          <w:color w:val="000000"/>
          <w:sz w:val="18"/>
          <w:szCs w:val="18"/>
        </w:rPr>
        <w:t>——</w:t>
      </w:r>
      <w:r>
        <w:rPr>
          <w:szCs w:val="21"/>
        </w:rPr>
        <w:t xml:space="preserve"> </w:t>
      </w:r>
      <w:r>
        <w:rPr>
          <w:szCs w:val="21"/>
          <w:lang w:val="zh-CN"/>
        </w:rPr>
        <w:t>内标物的浓度</w:t>
      </w:r>
      <w:r>
        <w:rPr>
          <w:rFonts w:hint="eastAsia"/>
          <w:szCs w:val="21"/>
          <w:lang w:val="en-US" w:eastAsia="zh-CN"/>
        </w:rPr>
        <w:t>，单位为纳克每毫升</w:t>
      </w:r>
      <w:r>
        <w:rPr>
          <w:szCs w:val="21"/>
        </w:rPr>
        <w:t>（ng/m</w:t>
      </w:r>
      <w:r>
        <w:rPr>
          <w:rFonts w:hint="eastAsia"/>
          <w:szCs w:val="21"/>
          <w:lang w:eastAsia="zh-CN"/>
        </w:rPr>
        <w:t>L</w:t>
      </w:r>
      <w:r>
        <w:rPr>
          <w:szCs w:val="21"/>
        </w:rPr>
        <w:t>）；</w:t>
      </w:r>
    </w:p>
    <w:p>
      <w:pPr>
        <w:ind w:firstLine="360" w:firstLineChars="200"/>
        <w:rPr>
          <w:rFonts w:hint="eastAsia" w:asciiTheme="minorEastAsia" w:hAnsiTheme="minorEastAsia" w:eastAsiaTheme="minorEastAsia" w:cstheme="minorEastAsia"/>
          <w:sz w:val="18"/>
          <w:szCs w:val="18"/>
        </w:rPr>
      </w:pPr>
      <w:r>
        <w:rPr>
          <w:rFonts w:hint="eastAsia" w:ascii="黑体" w:hAnsi="黑体" w:eastAsia="黑体" w:cs="黑体"/>
          <w:sz w:val="18"/>
          <w:szCs w:val="18"/>
        </w:rPr>
        <w:t>注：</w:t>
      </w:r>
      <w:r>
        <w:rPr>
          <w:rFonts w:hint="eastAsia" w:asciiTheme="minorEastAsia" w:hAnsiTheme="minorEastAsia" w:eastAsiaTheme="minorEastAsia" w:cstheme="minorEastAsia"/>
          <w:sz w:val="18"/>
          <w:szCs w:val="18"/>
        </w:rPr>
        <w:t>当进样前添加到样品和校准品中的内标物数量和浓度相同时，通常将用于内标法的内标物浓度设置为1 ng/m</w:t>
      </w:r>
      <w:r>
        <w:rPr>
          <w:rFonts w:hint="eastAsia" w:asciiTheme="minorEastAsia" w:hAnsiTheme="minorEastAsia" w:eastAsiaTheme="minorEastAsia" w:cstheme="minorEastAsia"/>
          <w:sz w:val="18"/>
          <w:szCs w:val="18"/>
          <w:lang w:eastAsia="zh-CN"/>
        </w:rPr>
        <w:t>L</w:t>
      </w:r>
      <w:r>
        <w:rPr>
          <w:rFonts w:hint="eastAsia" w:asciiTheme="minorEastAsia" w:hAnsiTheme="minorEastAsia" w:eastAsiaTheme="minorEastAsia" w:cstheme="minorEastAsia"/>
          <w:sz w:val="18"/>
          <w:szCs w:val="18"/>
        </w:rPr>
        <w:t>。</w:t>
      </w:r>
    </w:p>
    <w:p>
      <w:pPr>
        <w:ind w:firstLine="420" w:firstLineChars="200"/>
        <w:rPr>
          <w:szCs w:val="21"/>
        </w:rPr>
      </w:pPr>
      <w:r>
        <w:rPr>
          <w:rFonts w:hint="eastAsia"/>
          <w:i/>
          <w:iCs/>
          <w:szCs w:val="21"/>
          <w:lang w:val="en-US" w:eastAsia="zh-CN"/>
        </w:rPr>
        <w:t xml:space="preserve">a </w:t>
      </w:r>
      <w:r>
        <w:rPr>
          <w:rStyle w:val="207"/>
          <w:rFonts w:ascii="Times New Roman" w:hAnsi="Times New Roman" w:cs="Times New Roman" w:eastAsiaTheme="minorEastAsia"/>
          <w:color w:val="000000"/>
          <w:sz w:val="18"/>
          <w:szCs w:val="18"/>
        </w:rPr>
        <w:t>——</w:t>
      </w:r>
      <w:r>
        <w:rPr>
          <w:szCs w:val="21"/>
        </w:rPr>
        <w:t>校准曲线斜率；</w:t>
      </w:r>
    </w:p>
    <w:p>
      <w:pPr>
        <w:ind w:firstLine="420" w:firstLineChars="200"/>
        <w:rPr>
          <w:szCs w:val="21"/>
        </w:rPr>
      </w:pPr>
      <w:r>
        <w:rPr>
          <w:i/>
          <w:iCs/>
          <w:szCs w:val="21"/>
        </w:rPr>
        <w:t>b</w:t>
      </w:r>
      <w:r>
        <w:rPr>
          <w:szCs w:val="21"/>
        </w:rPr>
        <w:t xml:space="preserve"> </w:t>
      </w:r>
      <w:r>
        <w:rPr>
          <w:rStyle w:val="207"/>
          <w:rFonts w:ascii="Times New Roman" w:hAnsi="Times New Roman" w:cs="Times New Roman" w:eastAsiaTheme="minorEastAsia"/>
          <w:color w:val="000000"/>
          <w:sz w:val="18"/>
          <w:szCs w:val="18"/>
        </w:rPr>
        <w:t>——</w:t>
      </w:r>
      <w:r>
        <w:rPr>
          <w:szCs w:val="21"/>
        </w:rPr>
        <w:t>校准曲线y轴截距。</w:t>
      </w:r>
    </w:p>
    <w:p>
      <w:pPr>
        <w:ind w:firstLine="360" w:firstLineChars="200"/>
        <w:rPr>
          <w:rFonts w:hint="eastAsia" w:asciiTheme="minorEastAsia" w:hAnsiTheme="minorEastAsia" w:eastAsiaTheme="minorEastAsia" w:cstheme="minorEastAsia"/>
          <w:sz w:val="18"/>
          <w:szCs w:val="18"/>
        </w:rPr>
      </w:pPr>
      <w:r>
        <w:rPr>
          <w:rFonts w:hint="eastAsia" w:ascii="黑体" w:hAnsi="黑体" w:eastAsia="黑体" w:cs="黑体"/>
          <w:sz w:val="18"/>
          <w:szCs w:val="18"/>
        </w:rPr>
        <w:t>注2：</w:t>
      </w:r>
      <w:r>
        <w:rPr>
          <w:rFonts w:hint="eastAsia" w:asciiTheme="minorEastAsia" w:hAnsiTheme="minorEastAsia" w:eastAsiaTheme="minorEastAsia" w:cstheme="minorEastAsia"/>
          <w:sz w:val="18"/>
          <w:szCs w:val="18"/>
        </w:rPr>
        <w:t>如果使用线性回归无法</w:t>
      </w:r>
      <w:r>
        <w:rPr>
          <w:rFonts w:hint="eastAsia" w:asciiTheme="minorEastAsia" w:hAnsiTheme="minorEastAsia" w:eastAsiaTheme="minorEastAsia" w:cstheme="minorEastAsia"/>
          <w:sz w:val="18"/>
          <w:szCs w:val="18"/>
          <w:lang w:val="en-US" w:eastAsia="zh-CN"/>
        </w:rPr>
        <w:t>满足</w:t>
      </w:r>
      <w:r>
        <w:rPr>
          <w:rFonts w:hint="eastAsia" w:asciiTheme="minorEastAsia" w:hAnsiTheme="minorEastAsia" w:eastAsiaTheme="minorEastAsia" w:cstheme="minorEastAsia"/>
          <w:sz w:val="18"/>
          <w:szCs w:val="18"/>
        </w:rPr>
        <w:t>曲线相对标准偏差的要求，则可以使用多项式（例如二阶）回归。使用多项式回归时，所有质量控制要求仍然有效。</w:t>
      </w:r>
    </w:p>
    <w:p>
      <w:pPr>
        <w:widowControl/>
        <w:spacing w:before="312" w:beforeLines="100" w:after="312" w:afterLines="100"/>
        <w:outlineLvl w:val="0"/>
        <w:rPr>
          <w:rFonts w:ascii="黑体" w:hAnsi="黑体" w:eastAsia="黑体"/>
          <w:kern w:val="0"/>
          <w:szCs w:val="20"/>
        </w:rPr>
      </w:pPr>
      <w:bookmarkStart w:id="32" w:name="_Toc6128"/>
      <w:bookmarkStart w:id="33" w:name="_Toc19727"/>
      <w:r>
        <w:rPr>
          <w:rFonts w:ascii="黑体" w:hAnsi="黑体" w:eastAsia="黑体"/>
          <w:kern w:val="0"/>
          <w:szCs w:val="20"/>
        </w:rPr>
        <w:t xml:space="preserve">9 </w:t>
      </w:r>
      <w:r>
        <w:rPr>
          <w:rFonts w:hint="eastAsia" w:ascii="黑体" w:hAnsi="黑体" w:eastAsia="黑体"/>
          <w:kern w:val="0"/>
          <w:szCs w:val="20"/>
          <w:lang w:eastAsia="zh-CN"/>
        </w:rPr>
        <w:t>PAHs</w:t>
      </w:r>
      <w:r>
        <w:rPr>
          <w:rFonts w:ascii="黑体" w:hAnsi="黑体" w:eastAsia="黑体"/>
          <w:kern w:val="0"/>
          <w:szCs w:val="20"/>
        </w:rPr>
        <w:t>浓度计算</w:t>
      </w:r>
      <w:bookmarkEnd w:id="32"/>
      <w:bookmarkEnd w:id="33"/>
    </w:p>
    <w:p>
      <w:pPr>
        <w:pStyle w:val="47"/>
      </w:pPr>
      <w:r>
        <w:t>9.1 总述</w:t>
      </w:r>
    </w:p>
    <w:p>
      <w:pPr>
        <w:ind w:firstLine="420" w:firstLineChars="200"/>
        <w:rPr>
          <w:szCs w:val="21"/>
        </w:rPr>
      </w:pPr>
      <w:r>
        <w:rPr>
          <w:szCs w:val="21"/>
        </w:rPr>
        <w:t>只有检测到的PAH</w:t>
      </w:r>
      <w:r>
        <w:rPr>
          <w:rFonts w:hint="eastAsia"/>
          <w:szCs w:val="21"/>
          <w:lang w:val="en-US" w:eastAsia="zh-CN"/>
        </w:rPr>
        <w:t>s</w:t>
      </w:r>
      <w:r>
        <w:rPr>
          <w:szCs w:val="21"/>
        </w:rPr>
        <w:t>化合物才计入总和。</w:t>
      </w:r>
    </w:p>
    <w:p>
      <w:pPr>
        <w:ind w:firstLine="420" w:firstLineChars="200"/>
        <w:rPr>
          <w:szCs w:val="21"/>
        </w:rPr>
      </w:pPr>
      <w:r>
        <w:rPr>
          <w:szCs w:val="21"/>
        </w:rPr>
        <w:t>如果样品中未检测到PAH</w:t>
      </w:r>
      <w:r>
        <w:rPr>
          <w:rFonts w:hint="eastAsia"/>
          <w:szCs w:val="21"/>
          <w:lang w:val="en-US" w:eastAsia="zh-CN"/>
        </w:rPr>
        <w:t>s</w:t>
      </w:r>
      <w:r>
        <w:rPr>
          <w:szCs w:val="21"/>
        </w:rPr>
        <w:t>，在报告中应将总PAH</w:t>
      </w:r>
      <w:r>
        <w:rPr>
          <w:rFonts w:hint="eastAsia"/>
          <w:szCs w:val="21"/>
          <w:lang w:val="en-US" w:eastAsia="zh-CN"/>
        </w:rPr>
        <w:t>s</w:t>
      </w:r>
      <w:r>
        <w:rPr>
          <w:szCs w:val="21"/>
        </w:rPr>
        <w:t>表示为方法检出限最高的PAH的函数。例如，如果BaP的方法检出限为20 μg/kg，而样品中没有发现PAH</w:t>
      </w:r>
      <w:r>
        <w:rPr>
          <w:rFonts w:hint="eastAsia"/>
          <w:szCs w:val="21"/>
          <w:lang w:val="en-US" w:eastAsia="zh-CN"/>
        </w:rPr>
        <w:t>s</w:t>
      </w:r>
      <w:r>
        <w:rPr>
          <w:szCs w:val="21"/>
        </w:rPr>
        <w:t>，则PAH</w:t>
      </w:r>
      <w:r>
        <w:rPr>
          <w:rFonts w:hint="eastAsia"/>
          <w:szCs w:val="21"/>
          <w:lang w:val="en-US" w:eastAsia="zh-CN"/>
        </w:rPr>
        <w:t>s</w:t>
      </w:r>
      <w:r>
        <w:rPr>
          <w:szCs w:val="21"/>
        </w:rPr>
        <w:t>总量应报告为&lt;20 μg/kg。</w:t>
      </w:r>
    </w:p>
    <w:p>
      <w:pPr>
        <w:ind w:firstLine="420" w:firstLineChars="200"/>
        <w:rPr>
          <w:szCs w:val="21"/>
        </w:rPr>
      </w:pPr>
      <w:r>
        <w:rPr>
          <w:szCs w:val="21"/>
        </w:rPr>
        <w:t>对低于定量限（但高于检出限）的检出分析物</w:t>
      </w:r>
      <w:r>
        <w:rPr>
          <w:rFonts w:hint="eastAsia"/>
          <w:szCs w:val="21"/>
          <w:lang w:val="en-US" w:eastAsia="zh-CN"/>
        </w:rPr>
        <w:t>，</w:t>
      </w:r>
      <w:r>
        <w:rPr>
          <w:szCs w:val="21"/>
        </w:rPr>
        <w:t>应</w:t>
      </w:r>
      <w:r>
        <w:rPr>
          <w:rFonts w:hint="eastAsia"/>
          <w:szCs w:val="21"/>
          <w:lang w:val="en-US" w:eastAsia="zh-CN"/>
        </w:rPr>
        <w:t>对</w:t>
      </w:r>
      <w:r>
        <w:rPr>
          <w:szCs w:val="21"/>
        </w:rPr>
        <w:t>检出分析物的定量限求和。例如，如果发现BaP高于检出限，但低于定量限，且如果BaP的定量限是100 μg/kg，而样品中未发现高于检出限的其他PAH</w:t>
      </w:r>
      <w:r>
        <w:rPr>
          <w:rFonts w:hint="eastAsia"/>
          <w:szCs w:val="21"/>
          <w:lang w:val="en-US" w:eastAsia="zh-CN"/>
        </w:rPr>
        <w:t>s</w:t>
      </w:r>
      <w:r>
        <w:rPr>
          <w:szCs w:val="21"/>
        </w:rPr>
        <w:t>，则PAH</w:t>
      </w:r>
      <w:r>
        <w:rPr>
          <w:rFonts w:hint="eastAsia"/>
          <w:szCs w:val="21"/>
          <w:lang w:val="en-US" w:eastAsia="zh-CN"/>
        </w:rPr>
        <w:t>s</w:t>
      </w:r>
      <w:r>
        <w:rPr>
          <w:szCs w:val="21"/>
        </w:rPr>
        <w:t>总量应报告为100 μg/kg。</w:t>
      </w:r>
    </w:p>
    <w:p>
      <w:pPr>
        <w:pStyle w:val="47"/>
      </w:pPr>
      <w:r>
        <w:t>9.2 计算</w:t>
      </w:r>
    </w:p>
    <w:p>
      <w:pPr>
        <w:ind w:firstLine="420" w:firstLineChars="200"/>
        <w:rPr>
          <w:szCs w:val="21"/>
        </w:rPr>
      </w:pPr>
      <w:r>
        <w:rPr>
          <w:szCs w:val="21"/>
        </w:rPr>
        <w:t>使用校准曲线对样品进行</w:t>
      </w:r>
      <w:r>
        <w:rPr>
          <w:rFonts w:hint="eastAsia"/>
          <w:szCs w:val="21"/>
          <w:lang w:val="en-US" w:eastAsia="zh-CN"/>
        </w:rPr>
        <w:t>定量</w:t>
      </w:r>
      <w:r>
        <w:rPr>
          <w:szCs w:val="21"/>
        </w:rPr>
        <w:t>。样品中</w:t>
      </w:r>
      <w:r>
        <w:rPr>
          <w:rFonts w:hint="eastAsia"/>
          <w:szCs w:val="21"/>
          <w:lang w:val="en-US" w:eastAsia="zh-CN"/>
        </w:rPr>
        <w:t>各</w:t>
      </w:r>
      <w:r>
        <w:rPr>
          <w:szCs w:val="21"/>
        </w:rPr>
        <w:t>PAH</w:t>
      </w:r>
      <w:r>
        <w:rPr>
          <w:rFonts w:hint="eastAsia"/>
          <w:szCs w:val="21"/>
          <w:lang w:val="en-US" w:eastAsia="zh-CN"/>
        </w:rPr>
        <w:t>的</w:t>
      </w:r>
      <w:r>
        <w:rPr>
          <w:szCs w:val="21"/>
        </w:rPr>
        <w:t>浓度</w:t>
      </w:r>
      <w:r>
        <w:rPr>
          <w:rFonts w:hint="eastAsia"/>
          <w:szCs w:val="21"/>
          <w:lang w:val="en-US" w:eastAsia="zh-CN"/>
        </w:rPr>
        <w:t>总和</w:t>
      </w:r>
      <w:r>
        <w:rPr>
          <w:szCs w:val="21"/>
        </w:rPr>
        <w:t>通过</w:t>
      </w:r>
      <w:r>
        <w:rPr>
          <w:rFonts w:hint="eastAsia"/>
          <w:szCs w:val="21"/>
          <w:lang w:val="en-US" w:eastAsia="zh-CN"/>
        </w:rPr>
        <w:t>公式</w:t>
      </w:r>
      <w:r>
        <w:rPr>
          <w:szCs w:val="21"/>
        </w:rPr>
        <w:t>2计算。</w:t>
      </w:r>
    </w:p>
    <w:p>
      <w:pPr>
        <w:tabs>
          <w:tab w:val="left" w:pos="4820"/>
        </w:tabs>
        <w:adjustRightInd w:val="0"/>
        <w:snapToGrid w:val="0"/>
        <w:spacing w:before="156" w:beforeLines="50" w:after="156" w:afterLines="50"/>
        <w:jc w:val="right"/>
        <w:rPr>
          <w:rFonts w:eastAsia="黑体"/>
          <w:szCs w:val="21"/>
        </w:rPr>
      </w:pPr>
      <w:r>
        <w:rPr>
          <w:rFonts w:hint="eastAsia" w:eastAsia="黑体"/>
          <w:i w:val="0"/>
          <w:iCs w:val="0"/>
          <w:position w:val="-24"/>
          <w:szCs w:val="21"/>
          <w:lang w:eastAsia="zh-CN"/>
        </w:rPr>
        <w:object>
          <v:shape id="_x0000_i1025" o:spt="75" type="#_x0000_t75" style="height:31pt;width:110pt;" o:ole="t" filled="f" o:preferrelative="t" stroked="f" coordsize="21600,21600">
            <v:path/>
            <v:fill on="f" focussize="0,0"/>
            <v:stroke on="f"/>
            <v:imagedata r:id="rId18" o:title=""/>
            <o:lock v:ext="edit" aspectratio="t"/>
            <w10:wrap type="none"/>
            <w10:anchorlock/>
          </v:shape>
          <o:OLEObject Type="Embed" ProgID="Equation.KSEE3" ShapeID="_x0000_i1025" DrawAspect="Content" ObjectID="_1468075725" r:id="rId17">
            <o:LockedField>false</o:LockedField>
          </o:OLEObject>
        </w:object>
      </w:r>
      <w:r>
        <w:rPr>
          <w:rFonts w:eastAsia="黑体"/>
          <w:szCs w:val="21"/>
        </w:rPr>
        <w:tab/>
      </w:r>
      <w:r>
        <w:rPr>
          <w:rFonts w:eastAsia="黑体"/>
          <w:szCs w:val="21"/>
        </w:rPr>
        <w:t>（2）</w:t>
      </w:r>
    </w:p>
    <w:p>
      <w:pPr>
        <w:tabs>
          <w:tab w:val="left" w:pos="4820"/>
        </w:tabs>
        <w:adjustRightInd w:val="0"/>
        <w:snapToGrid w:val="0"/>
        <w:spacing w:before="156" w:beforeLines="50" w:after="156" w:afterLines="50"/>
        <w:jc w:val="center"/>
        <w:rPr>
          <w:rFonts w:hint="eastAsia" w:eastAsia="黑体"/>
          <w:szCs w:val="21"/>
          <w:lang w:eastAsia="zh-CN"/>
        </w:rPr>
      </w:pPr>
    </w:p>
    <w:p>
      <w:pPr>
        <w:ind w:firstLine="420" w:firstLineChars="200"/>
        <w:rPr>
          <w:szCs w:val="21"/>
        </w:rPr>
      </w:pPr>
      <w:r>
        <w:rPr>
          <w:szCs w:val="21"/>
        </w:rPr>
        <w:t>式中</w:t>
      </w:r>
    </w:p>
    <w:p>
      <w:pPr>
        <w:tabs>
          <w:tab w:val="left" w:pos="709"/>
        </w:tabs>
        <w:ind w:firstLine="420" w:firstLineChars="200"/>
        <w:rPr>
          <w:szCs w:val="21"/>
        </w:rPr>
      </w:pPr>
      <w:r>
        <w:rPr>
          <w:i/>
          <w:iCs/>
          <w:szCs w:val="21"/>
        </w:rPr>
        <w:t>C</w:t>
      </w:r>
      <w:r>
        <w:rPr>
          <w:i/>
          <w:iCs/>
          <w:szCs w:val="21"/>
          <w:vertAlign w:val="subscript"/>
        </w:rPr>
        <w:t>total</w:t>
      </w:r>
      <w:r>
        <w:rPr>
          <w:szCs w:val="21"/>
        </w:rPr>
        <w:t xml:space="preserve"> </w:t>
      </w:r>
      <w:r>
        <w:rPr>
          <w:rStyle w:val="207"/>
          <w:rFonts w:ascii="Times New Roman" w:hAnsi="Times New Roman" w:cs="Times New Roman" w:eastAsiaTheme="minorEastAsia"/>
          <w:color w:val="000000"/>
          <w:sz w:val="18"/>
          <w:szCs w:val="18"/>
        </w:rPr>
        <w:t>——</w:t>
      </w:r>
      <w:r>
        <w:rPr>
          <w:szCs w:val="21"/>
          <w:lang w:val="zh-CN"/>
        </w:rPr>
        <w:t>样品中各</w:t>
      </w:r>
      <w:r>
        <w:rPr>
          <w:szCs w:val="21"/>
        </w:rPr>
        <w:t>PAH浓度的总和</w:t>
      </w:r>
      <w:r>
        <w:rPr>
          <w:rFonts w:hint="eastAsia"/>
          <w:szCs w:val="21"/>
          <w:lang w:val="en-US" w:eastAsia="zh-CN"/>
        </w:rPr>
        <w:t>，单位为微克每克</w:t>
      </w:r>
      <w:r>
        <w:rPr>
          <w:szCs w:val="21"/>
        </w:rPr>
        <w:t>（</w:t>
      </w:r>
      <w:r>
        <w:rPr>
          <w:szCs w:val="21"/>
          <w:lang w:val="el-GR"/>
        </w:rPr>
        <w:t>μg/g</w:t>
      </w:r>
      <w:r>
        <w:rPr>
          <w:szCs w:val="21"/>
        </w:rPr>
        <w:t>）</w:t>
      </w:r>
      <w:r>
        <w:rPr>
          <w:szCs w:val="21"/>
          <w:lang w:val="el-GR"/>
        </w:rPr>
        <w:t>；</w:t>
      </w:r>
    </w:p>
    <w:p>
      <w:pPr>
        <w:tabs>
          <w:tab w:val="left" w:pos="709"/>
        </w:tabs>
        <w:ind w:firstLine="420" w:firstLineChars="200"/>
        <w:rPr>
          <w:szCs w:val="21"/>
        </w:rPr>
      </w:pPr>
      <w:r>
        <w:rPr>
          <w:i/>
          <w:iCs/>
          <w:szCs w:val="21"/>
        </w:rPr>
        <w:t>C</w:t>
      </w:r>
      <w:r>
        <w:rPr>
          <w:i/>
          <w:iCs/>
          <w:szCs w:val="21"/>
          <w:vertAlign w:val="subscript"/>
        </w:rPr>
        <w:t>i</w:t>
      </w:r>
      <w:r>
        <w:rPr>
          <w:i/>
          <w:iCs/>
          <w:szCs w:val="21"/>
        </w:rPr>
        <w:t xml:space="preserve"> </w:t>
      </w:r>
      <w:r>
        <w:rPr>
          <w:rFonts w:hint="eastAsia"/>
          <w:i/>
          <w:iCs/>
          <w:szCs w:val="21"/>
          <w:lang w:val="en-US" w:eastAsia="zh-CN"/>
        </w:rPr>
        <w:t xml:space="preserve"> </w:t>
      </w:r>
      <w:r>
        <w:rPr>
          <w:rStyle w:val="207"/>
          <w:rFonts w:ascii="Times New Roman" w:hAnsi="Times New Roman" w:cs="Times New Roman" w:eastAsiaTheme="minorEastAsia"/>
          <w:color w:val="000000"/>
          <w:sz w:val="18"/>
          <w:szCs w:val="18"/>
        </w:rPr>
        <w:t>——</w:t>
      </w:r>
      <w:r>
        <w:rPr>
          <w:rStyle w:val="207"/>
          <w:rFonts w:hint="eastAsia" w:cs="Times New Roman" w:eastAsiaTheme="minorEastAsia"/>
          <w:b w:val="0"/>
          <w:bCs w:val="0"/>
          <w:color w:val="000000"/>
          <w:sz w:val="18"/>
          <w:szCs w:val="18"/>
          <w:lang w:val="en-US" w:eastAsia="zh-CN"/>
        </w:rPr>
        <w:t>各种</w:t>
      </w:r>
      <w:r>
        <w:rPr>
          <w:szCs w:val="21"/>
        </w:rPr>
        <w:t>PAH</w:t>
      </w:r>
      <w:r>
        <w:rPr>
          <w:szCs w:val="21"/>
          <w:lang w:val="zh-CN"/>
        </w:rPr>
        <w:t>的浓度</w:t>
      </w:r>
      <w:r>
        <w:rPr>
          <w:rFonts w:hint="eastAsia"/>
          <w:szCs w:val="21"/>
          <w:lang w:val="en-US" w:eastAsia="zh-CN"/>
        </w:rPr>
        <w:t>，单位为纳克每毫升</w:t>
      </w:r>
      <w:r>
        <w:rPr>
          <w:szCs w:val="21"/>
        </w:rPr>
        <w:t>（ng/m</w:t>
      </w:r>
      <w:r>
        <w:rPr>
          <w:rFonts w:hint="eastAsia"/>
          <w:szCs w:val="21"/>
          <w:lang w:val="en-US" w:eastAsia="zh-CN"/>
        </w:rPr>
        <w:t>L</w:t>
      </w:r>
      <w:r>
        <w:rPr>
          <w:szCs w:val="21"/>
        </w:rPr>
        <w:t>）；</w:t>
      </w:r>
    </w:p>
    <w:p>
      <w:pPr>
        <w:tabs>
          <w:tab w:val="left" w:pos="709"/>
        </w:tabs>
        <w:ind w:firstLine="420" w:firstLineChars="200"/>
        <w:rPr>
          <w:szCs w:val="21"/>
        </w:rPr>
      </w:pPr>
      <w:r>
        <w:rPr>
          <w:i/>
          <w:iCs/>
          <w:szCs w:val="21"/>
        </w:rPr>
        <w:t>V</w:t>
      </w:r>
      <w:r>
        <w:rPr>
          <w:szCs w:val="21"/>
        </w:rPr>
        <w:t xml:space="preserve"> </w:t>
      </w:r>
      <w:r>
        <w:rPr>
          <w:rFonts w:hint="eastAsia"/>
          <w:szCs w:val="21"/>
          <w:lang w:val="en-US" w:eastAsia="zh-CN"/>
        </w:rPr>
        <w:t xml:space="preserve"> </w:t>
      </w:r>
      <w:r>
        <w:rPr>
          <w:rStyle w:val="207"/>
          <w:rFonts w:ascii="Times New Roman" w:hAnsi="Times New Roman" w:cs="Times New Roman" w:eastAsiaTheme="minorEastAsia"/>
          <w:color w:val="000000"/>
          <w:sz w:val="18"/>
          <w:szCs w:val="18"/>
        </w:rPr>
        <w:t>——</w:t>
      </w:r>
      <w:r>
        <w:rPr>
          <w:szCs w:val="21"/>
        </w:rPr>
        <w:t>最终样品体积</w:t>
      </w:r>
      <w:r>
        <w:rPr>
          <w:rFonts w:hint="eastAsia"/>
          <w:szCs w:val="21"/>
          <w:lang w:val="en-US" w:eastAsia="zh-CN"/>
        </w:rPr>
        <w:t>，单位为毫升</w:t>
      </w:r>
      <w:r>
        <w:rPr>
          <w:szCs w:val="21"/>
        </w:rPr>
        <w:t>（m</w:t>
      </w:r>
      <w:r>
        <w:rPr>
          <w:rFonts w:hint="eastAsia"/>
          <w:szCs w:val="21"/>
          <w:lang w:val="en-US" w:eastAsia="zh-CN"/>
        </w:rPr>
        <w:t>L</w:t>
      </w:r>
      <w:r>
        <w:rPr>
          <w:szCs w:val="21"/>
        </w:rPr>
        <w:t>）；</w:t>
      </w:r>
    </w:p>
    <w:p>
      <w:pPr>
        <w:tabs>
          <w:tab w:val="left" w:pos="709"/>
        </w:tabs>
        <w:ind w:firstLine="420" w:firstLineChars="200"/>
        <w:rPr>
          <w:szCs w:val="21"/>
        </w:rPr>
      </w:pPr>
      <w:r>
        <w:rPr>
          <w:i/>
          <w:iCs/>
          <w:szCs w:val="21"/>
        </w:rPr>
        <w:t>W</w:t>
      </w:r>
      <w:r>
        <w:rPr>
          <w:szCs w:val="21"/>
        </w:rPr>
        <w:t xml:space="preserve"> </w:t>
      </w:r>
      <w:r>
        <w:rPr>
          <w:rFonts w:hint="eastAsia"/>
          <w:szCs w:val="21"/>
          <w:lang w:val="en-US" w:eastAsia="zh-CN"/>
        </w:rPr>
        <w:t xml:space="preserve"> </w:t>
      </w:r>
      <w:r>
        <w:rPr>
          <w:rStyle w:val="207"/>
          <w:rFonts w:ascii="Times New Roman" w:hAnsi="Times New Roman" w:cs="Times New Roman" w:eastAsiaTheme="minorEastAsia"/>
          <w:color w:val="000000"/>
          <w:sz w:val="18"/>
          <w:szCs w:val="18"/>
        </w:rPr>
        <w:t>——</w:t>
      </w:r>
      <w:r>
        <w:rPr>
          <w:szCs w:val="21"/>
        </w:rPr>
        <w:t>样品重量</w:t>
      </w:r>
      <w:r>
        <w:rPr>
          <w:rFonts w:hint="eastAsia"/>
          <w:szCs w:val="21"/>
          <w:lang w:val="en-US" w:eastAsia="zh-CN"/>
        </w:rPr>
        <w:t>，单位为克</w:t>
      </w:r>
      <w:r>
        <w:rPr>
          <w:szCs w:val="21"/>
        </w:rPr>
        <w:t>（g）；</w:t>
      </w:r>
    </w:p>
    <w:p>
      <w:pPr>
        <w:tabs>
          <w:tab w:val="left" w:pos="709"/>
        </w:tabs>
        <w:ind w:firstLine="420" w:firstLineChars="200"/>
        <w:rPr>
          <w:szCs w:val="21"/>
        </w:rPr>
      </w:pPr>
      <w:r>
        <w:rPr>
          <w:i/>
          <w:iCs/>
          <w:szCs w:val="21"/>
        </w:rPr>
        <w:t>DF</w:t>
      </w:r>
      <w:r>
        <w:rPr>
          <w:rFonts w:hint="eastAsia"/>
          <w:i/>
          <w:iCs/>
          <w:szCs w:val="21"/>
          <w:lang w:val="en-US" w:eastAsia="zh-CN"/>
        </w:rPr>
        <w:t xml:space="preserve"> </w:t>
      </w:r>
      <w:r>
        <w:rPr>
          <w:rStyle w:val="207"/>
          <w:rFonts w:ascii="Times New Roman" w:hAnsi="Times New Roman" w:cs="Times New Roman" w:eastAsiaTheme="minorEastAsia"/>
          <w:color w:val="000000"/>
          <w:sz w:val="18"/>
          <w:szCs w:val="18"/>
        </w:rPr>
        <w:t>——</w:t>
      </w:r>
      <w:r>
        <w:rPr>
          <w:szCs w:val="21"/>
        </w:rPr>
        <w:t>稀释因子。</w:t>
      </w:r>
    </w:p>
    <w:p>
      <w:pPr>
        <w:widowControl/>
        <w:spacing w:before="312" w:beforeLines="100" w:after="312" w:afterLines="100"/>
        <w:outlineLvl w:val="0"/>
        <w:rPr>
          <w:rFonts w:ascii="黑体" w:hAnsi="黑体" w:eastAsia="黑体"/>
          <w:kern w:val="0"/>
          <w:szCs w:val="20"/>
        </w:rPr>
      </w:pPr>
      <w:bookmarkStart w:id="34" w:name="_Toc25664"/>
      <w:bookmarkStart w:id="35" w:name="_Toc7224"/>
      <w:r>
        <w:rPr>
          <w:rFonts w:ascii="黑体" w:hAnsi="黑体" w:eastAsia="黑体"/>
          <w:kern w:val="0"/>
          <w:szCs w:val="20"/>
        </w:rPr>
        <w:t>10 精</w:t>
      </w:r>
      <w:r>
        <w:rPr>
          <w:rFonts w:hint="eastAsia" w:ascii="黑体" w:hAnsi="黑体" w:eastAsia="黑体"/>
          <w:kern w:val="0"/>
          <w:szCs w:val="20"/>
          <w:lang w:val="en-US" w:eastAsia="zh-CN"/>
        </w:rPr>
        <w:t>密</w:t>
      </w:r>
      <w:r>
        <w:rPr>
          <w:rFonts w:ascii="黑体" w:hAnsi="黑体" w:eastAsia="黑体"/>
          <w:kern w:val="0"/>
          <w:szCs w:val="20"/>
        </w:rPr>
        <w:t>度</w:t>
      </w:r>
      <w:bookmarkEnd w:id="34"/>
      <w:bookmarkEnd w:id="35"/>
    </w:p>
    <w:p>
      <w:pPr>
        <w:ind w:firstLine="420" w:firstLineChars="200"/>
        <w:rPr>
          <w:rFonts w:hint="eastAsia" w:eastAsia="宋体"/>
          <w:szCs w:val="21"/>
          <w:lang w:val="en-US" w:eastAsia="zh-CN"/>
        </w:rPr>
      </w:pPr>
      <w:r>
        <w:rPr>
          <w:rFonts w:hint="eastAsia"/>
          <w:szCs w:val="21"/>
          <w:lang w:val="en-US" w:eastAsia="zh-CN"/>
        </w:rPr>
        <w:t>当在相同的实验室，由相同的操作员使用相同的设备，在相同的测试材料上短时间间隔内使用相同的方法得到的两次独立单一的测试结果值，在表5的平均值范围内，其超过5%的情况下所获得的两次测试结果之间的绝对差异不会超过国际实验室间研究</w:t>
      </w:r>
      <w:r>
        <w:rPr>
          <w:szCs w:val="21"/>
        </w:rPr>
        <w:t>PAH</w:t>
      </w:r>
      <w:r>
        <w:rPr>
          <w:rFonts w:hint="eastAsia"/>
          <w:szCs w:val="21"/>
          <w:lang w:val="en-US" w:eastAsia="zh-CN"/>
        </w:rPr>
        <w:t>s</w:t>
      </w:r>
      <w:r>
        <w:rPr>
          <w:szCs w:val="21"/>
        </w:rPr>
        <w:t>（IIS10-PAHs）</w:t>
      </w:r>
      <w:r>
        <w:rPr>
          <w:rFonts w:hint="eastAsia"/>
          <w:szCs w:val="21"/>
          <w:lang w:val="en-US" w:eastAsia="zh-CN"/>
        </w:rPr>
        <w:t>结果的统计分析得出的重复性限</w:t>
      </w:r>
      <w:r>
        <w:rPr>
          <w:rFonts w:hint="eastAsia"/>
          <w:i/>
          <w:iCs/>
          <w:szCs w:val="21"/>
          <w:lang w:val="en-US" w:eastAsia="zh-CN"/>
        </w:rPr>
        <w:t>r</w:t>
      </w:r>
      <w:r>
        <w:rPr>
          <w:rFonts w:hint="eastAsia"/>
          <w:i w:val="0"/>
          <w:iCs w:val="0"/>
          <w:szCs w:val="21"/>
          <w:lang w:val="en-US" w:eastAsia="zh-CN"/>
        </w:rPr>
        <w:t>。</w:t>
      </w:r>
    </w:p>
    <w:p>
      <w:pPr>
        <w:ind w:firstLine="420" w:firstLineChars="200"/>
        <w:rPr>
          <w:szCs w:val="21"/>
        </w:rPr>
      </w:pPr>
      <w:r>
        <w:rPr>
          <w:rFonts w:hint="eastAsia"/>
          <w:szCs w:val="21"/>
          <w:lang w:val="en-US" w:eastAsia="zh-CN"/>
        </w:rPr>
        <w:t>当在不同的实验室,有不同的操作员使用相同的方法,使用不同的设备针对相同的测试材料得到的两次单一测试结果值,在</w:t>
      </w:r>
      <w:r>
        <w:rPr>
          <w:szCs w:val="21"/>
        </w:rPr>
        <w:t>表5</w:t>
      </w:r>
      <w:r>
        <w:rPr>
          <w:rFonts w:hint="eastAsia"/>
          <w:szCs w:val="21"/>
          <w:lang w:val="en-US" w:eastAsia="zh-CN"/>
        </w:rPr>
        <w:t>的平均值范围内,其超过5%的情况下所获得的两次测试结果之间的绝对差异不会超过国际实验室间研究</w:t>
      </w:r>
      <w:r>
        <w:rPr>
          <w:szCs w:val="21"/>
        </w:rPr>
        <w:t>PAH</w:t>
      </w:r>
      <w:r>
        <w:rPr>
          <w:rFonts w:hint="eastAsia"/>
          <w:szCs w:val="21"/>
          <w:lang w:val="en-US" w:eastAsia="zh-CN"/>
        </w:rPr>
        <w:t>s</w:t>
      </w:r>
      <w:r>
        <w:rPr>
          <w:szCs w:val="21"/>
        </w:rPr>
        <w:t>（IIS10-PAHs）</w:t>
      </w:r>
      <w:r>
        <w:rPr>
          <w:rFonts w:hint="eastAsia"/>
          <w:szCs w:val="21"/>
          <w:lang w:val="en-US" w:eastAsia="zh-CN"/>
        </w:rPr>
        <w:t>结果的统计分析得出的再现性限</w:t>
      </w:r>
      <w:r>
        <w:rPr>
          <w:rFonts w:hint="eastAsia"/>
          <w:i/>
          <w:iCs/>
          <w:szCs w:val="21"/>
          <w:lang w:val="en-US" w:eastAsia="zh-CN"/>
        </w:rPr>
        <w:t>R</w:t>
      </w:r>
      <w:r>
        <w:rPr>
          <w:rFonts w:hint="eastAsia"/>
          <w:i w:val="0"/>
          <w:iCs w:val="0"/>
          <w:szCs w:val="21"/>
          <w:lang w:val="en-US" w:eastAsia="zh-CN"/>
        </w:rPr>
        <w:t>。</w:t>
      </w:r>
    </w:p>
    <w:p>
      <w:pPr>
        <w:ind w:firstLine="420" w:firstLineChars="200"/>
        <w:rPr>
          <w:rFonts w:hint="eastAsia"/>
          <w:szCs w:val="21"/>
        </w:rPr>
      </w:pPr>
    </w:p>
    <w:p>
      <w:pPr>
        <w:spacing w:before="156" w:beforeLines="50" w:after="156" w:afterLines="50"/>
        <w:jc w:val="center"/>
        <w:rPr>
          <w:rFonts w:hint="eastAsia" w:eastAsia="宋体"/>
          <w:b/>
          <w:bCs/>
          <w:szCs w:val="21"/>
          <w:lang w:val="en-US" w:eastAsia="zh-CN"/>
        </w:rPr>
      </w:pPr>
      <w:r>
        <w:rPr>
          <w:b/>
          <w:bCs/>
          <w:szCs w:val="21"/>
        </w:rPr>
        <w:t>表5—IIS10-PAHs的重复性</w:t>
      </w:r>
      <w:r>
        <w:rPr>
          <w:rFonts w:hint="eastAsia"/>
          <w:b/>
          <w:bCs/>
          <w:szCs w:val="21"/>
          <w:lang w:val="en-US" w:eastAsia="zh-CN"/>
        </w:rPr>
        <w:t>限</w:t>
      </w:r>
      <w:r>
        <w:rPr>
          <w:b/>
          <w:bCs/>
          <w:szCs w:val="21"/>
        </w:rPr>
        <w:t>与再现性</w:t>
      </w:r>
      <w:r>
        <w:rPr>
          <w:rFonts w:hint="eastAsia"/>
          <w:b/>
          <w:bCs/>
          <w:szCs w:val="21"/>
          <w:lang w:val="en-US" w:eastAsia="zh-CN"/>
        </w:rPr>
        <w:t>限</w:t>
      </w:r>
    </w:p>
    <w:tbl>
      <w:tblPr>
        <w:tblStyle w:val="44"/>
        <w:tblW w:w="9468" w:type="dxa"/>
        <w:tblInd w:w="0" w:type="dxa"/>
        <w:tblLayout w:type="fixed"/>
        <w:tblCellMar>
          <w:top w:w="0" w:type="dxa"/>
          <w:left w:w="57" w:type="dxa"/>
          <w:bottom w:w="0" w:type="dxa"/>
          <w:right w:w="57" w:type="dxa"/>
        </w:tblCellMar>
      </w:tblPr>
      <w:tblGrid>
        <w:gridCol w:w="2373"/>
        <w:gridCol w:w="1774"/>
        <w:gridCol w:w="1774"/>
        <w:gridCol w:w="1768"/>
        <w:gridCol w:w="1779"/>
      </w:tblGrid>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b/>
                <w:szCs w:val="21"/>
              </w:rPr>
            </w:pPr>
            <w:r>
              <w:rPr>
                <w:b/>
                <w:szCs w:val="21"/>
              </w:rPr>
              <w:t>参数</w:t>
            </w:r>
          </w:p>
        </w:tc>
        <w:tc>
          <w:tcPr>
            <w:tcW w:w="1774" w:type="dxa"/>
            <w:tcBorders>
              <w:top w:val="single" w:color="auto" w:sz="4" w:space="0"/>
              <w:left w:val="single" w:color="auto" w:sz="4" w:space="0"/>
            </w:tcBorders>
            <w:shd w:val="clear" w:color="auto" w:fill="FFFFFF"/>
            <w:vAlign w:val="center"/>
          </w:tcPr>
          <w:p>
            <w:pPr>
              <w:jc w:val="center"/>
              <w:rPr>
                <w:b/>
                <w:szCs w:val="21"/>
              </w:rPr>
            </w:pPr>
            <w:r>
              <w:rPr>
                <w:b/>
                <w:szCs w:val="21"/>
              </w:rPr>
              <w:t>检测结果数量（N）</w:t>
            </w:r>
          </w:p>
        </w:tc>
        <w:tc>
          <w:tcPr>
            <w:tcW w:w="1774" w:type="dxa"/>
            <w:tcBorders>
              <w:top w:val="single" w:color="auto" w:sz="4" w:space="0"/>
              <w:left w:val="single" w:color="auto" w:sz="4" w:space="0"/>
            </w:tcBorders>
            <w:shd w:val="clear" w:color="auto" w:fill="FFFFFF"/>
            <w:vAlign w:val="center"/>
          </w:tcPr>
          <w:p>
            <w:pPr>
              <w:jc w:val="center"/>
              <w:rPr>
                <w:b/>
                <w:szCs w:val="21"/>
              </w:rPr>
            </w:pPr>
            <w:r>
              <w:rPr>
                <w:b/>
                <w:szCs w:val="21"/>
              </w:rPr>
              <w:t>平均值（m）</w:t>
            </w:r>
          </w:p>
          <w:p>
            <w:pPr>
              <w:jc w:val="center"/>
              <w:rPr>
                <w:szCs w:val="21"/>
              </w:rPr>
            </w:pPr>
            <w:r>
              <w:rPr>
                <w:szCs w:val="21"/>
              </w:rPr>
              <w:t>mg/kg</w:t>
            </w:r>
          </w:p>
        </w:tc>
        <w:tc>
          <w:tcPr>
            <w:tcW w:w="1768" w:type="dxa"/>
            <w:tcBorders>
              <w:top w:val="single" w:color="auto" w:sz="4" w:space="0"/>
              <w:left w:val="single" w:color="auto" w:sz="4" w:space="0"/>
            </w:tcBorders>
            <w:shd w:val="clear" w:color="auto" w:fill="FFFFFF"/>
            <w:vAlign w:val="center"/>
          </w:tcPr>
          <w:p>
            <w:pPr>
              <w:jc w:val="center"/>
              <w:rPr>
                <w:b/>
                <w:szCs w:val="21"/>
              </w:rPr>
            </w:pPr>
            <w:r>
              <w:rPr>
                <w:b/>
                <w:i/>
                <w:iCs/>
                <w:szCs w:val="21"/>
              </w:rPr>
              <w:t>r</w:t>
            </w:r>
          </w:p>
          <w:p>
            <w:pPr>
              <w:jc w:val="center"/>
              <w:rPr>
                <w:szCs w:val="21"/>
              </w:rPr>
            </w:pPr>
            <w:r>
              <w:rPr>
                <w:szCs w:val="21"/>
              </w:rPr>
              <w:t>mg/kg</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b/>
                <w:szCs w:val="21"/>
              </w:rPr>
            </w:pPr>
            <w:r>
              <w:rPr>
                <w:b/>
                <w:i/>
                <w:iCs/>
                <w:szCs w:val="21"/>
              </w:rPr>
              <w:t>R</w:t>
            </w:r>
          </w:p>
          <w:p>
            <w:pPr>
              <w:jc w:val="center"/>
              <w:rPr>
                <w:szCs w:val="21"/>
              </w:rPr>
            </w:pPr>
            <w:r>
              <w:rPr>
                <w:szCs w:val="21"/>
              </w:rPr>
              <w:t>mg/kg</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rFonts w:hint="eastAsia"/>
                <w:szCs w:val="21"/>
                <w:lang w:eastAsia="zh-CN"/>
              </w:rPr>
              <w:t>PAHs</w:t>
            </w:r>
            <w:r>
              <w:rPr>
                <w:szCs w:val="21"/>
              </w:rPr>
              <w:t>总量</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21</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656</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77</w:t>
            </w:r>
            <w:r>
              <w:rPr>
                <w:rFonts w:hint="eastAsia"/>
                <w:szCs w:val="21"/>
                <w:lang w:eastAsia="zh-CN"/>
              </w:rPr>
              <w:t>.</w:t>
            </w:r>
            <w:r>
              <w:rPr>
                <w:szCs w:val="21"/>
              </w:rPr>
              <w:t>2</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276</w:t>
            </w:r>
            <w:r>
              <w:rPr>
                <w:rFonts w:hint="eastAsia"/>
                <w:szCs w:val="21"/>
                <w:lang w:eastAsia="zh-CN"/>
              </w:rPr>
              <w:t>.</w:t>
            </w:r>
            <w:r>
              <w:rPr>
                <w:szCs w:val="21"/>
              </w:rPr>
              <w:t>25</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rFonts w:hint="eastAsia"/>
                <w:szCs w:val="21"/>
                <w:lang w:eastAsia="zh-CN"/>
              </w:rPr>
              <w:t>PAHs</w:t>
            </w:r>
            <w:r>
              <w:rPr>
                <w:szCs w:val="21"/>
              </w:rPr>
              <w:t>总量</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270</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23</w:t>
            </w:r>
            <w:r>
              <w:rPr>
                <w:rFonts w:hint="eastAsia"/>
                <w:szCs w:val="21"/>
                <w:lang w:eastAsia="zh-CN"/>
              </w:rPr>
              <w:t>.</w:t>
            </w:r>
            <w:r>
              <w:rPr>
                <w:szCs w:val="21"/>
              </w:rPr>
              <w:t>4</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180</w:t>
            </w:r>
            <w:r>
              <w:rPr>
                <w:rFonts w:hint="eastAsia"/>
                <w:szCs w:val="21"/>
                <w:lang w:eastAsia="zh-CN"/>
              </w:rPr>
              <w:t>.</w:t>
            </w:r>
            <w:r>
              <w:rPr>
                <w:szCs w:val="21"/>
              </w:rPr>
              <w:t>54</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rFonts w:hint="eastAsia"/>
                <w:szCs w:val="21"/>
                <w:lang w:eastAsia="zh-CN"/>
              </w:rPr>
              <w:t>PAHs</w:t>
            </w:r>
            <w:r>
              <w:rPr>
                <w:szCs w:val="21"/>
              </w:rPr>
              <w:t>总量</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1 041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102</w:t>
            </w:r>
            <w:r>
              <w:rPr>
                <w:rFonts w:hint="eastAsia"/>
                <w:szCs w:val="21"/>
                <w:lang w:eastAsia="zh-CN"/>
              </w:rPr>
              <w:t>.</w:t>
            </w:r>
            <w:r>
              <w:rPr>
                <w:szCs w:val="21"/>
              </w:rPr>
              <w:t>9</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359</w:t>
            </w:r>
            <w:r>
              <w:rPr>
                <w:rFonts w:hint="eastAsia"/>
                <w:szCs w:val="21"/>
                <w:lang w:eastAsia="zh-CN"/>
              </w:rPr>
              <w:t>.</w:t>
            </w:r>
            <w:r>
              <w:rPr>
                <w:szCs w:val="21"/>
              </w:rPr>
              <w:t>26</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rFonts w:hint="eastAsia"/>
                <w:szCs w:val="21"/>
                <w:lang w:eastAsia="zh-CN"/>
              </w:rPr>
              <w:t>PAHs</w:t>
            </w:r>
            <w:r>
              <w:rPr>
                <w:szCs w:val="21"/>
              </w:rPr>
              <w:t>总量</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20</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89</w:t>
            </w:r>
            <w:r>
              <w:rPr>
                <w:rFonts w:hint="eastAsia"/>
                <w:szCs w:val="21"/>
                <w:lang w:eastAsia="zh-CN"/>
              </w:rPr>
              <w:t>.</w:t>
            </w:r>
            <w:r>
              <w:rPr>
                <w:szCs w:val="21"/>
              </w:rPr>
              <w:t>07</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19</w:t>
            </w:r>
            <w:r>
              <w:rPr>
                <w:rFonts w:hint="eastAsia"/>
                <w:szCs w:val="21"/>
                <w:lang w:eastAsia="zh-CN"/>
              </w:rPr>
              <w:t>.</w:t>
            </w:r>
            <w:r>
              <w:rPr>
                <w:szCs w:val="21"/>
              </w:rPr>
              <w:t>96</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54</w:t>
            </w:r>
            <w:r>
              <w:rPr>
                <w:rFonts w:hint="eastAsia"/>
                <w:szCs w:val="21"/>
                <w:lang w:eastAsia="zh-CN"/>
              </w:rPr>
              <w:t>.</w:t>
            </w:r>
            <w:r>
              <w:rPr>
                <w:szCs w:val="21"/>
              </w:rPr>
              <w:t>80</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15</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6</w:t>
            </w:r>
            <w:r>
              <w:rPr>
                <w:rFonts w:hint="eastAsia"/>
                <w:szCs w:val="21"/>
                <w:lang w:eastAsia="zh-CN"/>
              </w:rPr>
              <w:t>.</w:t>
            </w:r>
            <w:r>
              <w:rPr>
                <w:szCs w:val="21"/>
              </w:rPr>
              <w:t>20</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8</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16</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5</w:t>
            </w:r>
            <w:r>
              <w:rPr>
                <w:rFonts w:hint="eastAsia"/>
                <w:szCs w:val="21"/>
                <w:lang w:eastAsia="zh-CN"/>
              </w:rPr>
              <w:t>.</w:t>
            </w:r>
            <w:r>
              <w:rPr>
                <w:szCs w:val="21"/>
              </w:rPr>
              <w:t>98</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苊烯</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8</w:t>
            </w:r>
            <w:r>
              <w:rPr>
                <w:rFonts w:hint="eastAsia"/>
                <w:szCs w:val="21"/>
                <w:lang w:eastAsia="zh-CN"/>
              </w:rPr>
              <w:t>.</w:t>
            </w:r>
            <w:r>
              <w:rPr>
                <w:szCs w:val="21"/>
              </w:rPr>
              <w:t>5</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54</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6</w:t>
            </w:r>
            <w:r>
              <w:rPr>
                <w:rFonts w:hint="eastAsia"/>
                <w:szCs w:val="21"/>
                <w:lang w:eastAsia="zh-CN"/>
              </w:rPr>
              <w:t>.</w:t>
            </w:r>
            <w:r>
              <w:rPr>
                <w:szCs w:val="21"/>
              </w:rPr>
              <w:t>96</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苊烯</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5</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36</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8</w:t>
            </w:r>
            <w:r>
              <w:rPr>
                <w:rFonts w:hint="eastAsia"/>
                <w:szCs w:val="21"/>
                <w:lang w:eastAsia="zh-CN"/>
              </w:rPr>
              <w:t>.</w:t>
            </w:r>
            <w:r>
              <w:rPr>
                <w:szCs w:val="21"/>
              </w:rPr>
              <w:t>22</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苊</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72</w:t>
            </w:r>
            <w:r>
              <w:rPr>
                <w:rFonts w:hint="eastAsia"/>
                <w:szCs w:val="21"/>
                <w:lang w:eastAsia="zh-CN"/>
              </w:rPr>
              <w:t>.</w:t>
            </w:r>
            <w:r>
              <w:rPr>
                <w:szCs w:val="21"/>
              </w:rPr>
              <w:t>0</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9</w:t>
            </w:r>
            <w:r>
              <w:rPr>
                <w:rFonts w:hint="eastAsia"/>
                <w:szCs w:val="21"/>
                <w:lang w:eastAsia="zh-CN"/>
              </w:rPr>
              <w:t>.</w:t>
            </w:r>
            <w:r>
              <w:rPr>
                <w:szCs w:val="21"/>
              </w:rPr>
              <w:t>79</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44</w:t>
            </w:r>
            <w:r>
              <w:rPr>
                <w:rFonts w:hint="eastAsia"/>
                <w:szCs w:val="21"/>
                <w:lang w:eastAsia="zh-CN"/>
              </w:rPr>
              <w:t>.</w:t>
            </w:r>
            <w:r>
              <w:rPr>
                <w:szCs w:val="21"/>
              </w:rPr>
              <w:t>58</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苊</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29</w:t>
            </w:r>
            <w:r>
              <w:rPr>
                <w:rFonts w:hint="eastAsia"/>
                <w:szCs w:val="21"/>
                <w:lang w:eastAsia="zh-CN"/>
              </w:rPr>
              <w:t>.</w:t>
            </w:r>
            <w:r>
              <w:rPr>
                <w:szCs w:val="21"/>
              </w:rPr>
              <w:t>4</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4</w:t>
            </w:r>
            <w:r>
              <w:rPr>
                <w:rFonts w:hint="eastAsia"/>
                <w:szCs w:val="21"/>
                <w:lang w:eastAsia="zh-CN"/>
              </w:rPr>
              <w:t>.</w:t>
            </w:r>
            <w:r>
              <w:rPr>
                <w:szCs w:val="21"/>
              </w:rPr>
              <w:t>22</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16</w:t>
            </w:r>
            <w:r>
              <w:rPr>
                <w:rFonts w:hint="eastAsia"/>
                <w:szCs w:val="21"/>
                <w:lang w:eastAsia="zh-CN"/>
              </w:rPr>
              <w:t>.</w:t>
            </w:r>
            <w:r>
              <w:rPr>
                <w:szCs w:val="21"/>
              </w:rPr>
              <w:t>26</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苊</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23</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8</w:t>
            </w:r>
            <w:r>
              <w:rPr>
                <w:rFonts w:hint="eastAsia"/>
                <w:szCs w:val="21"/>
                <w:lang w:eastAsia="zh-CN"/>
              </w:rPr>
              <w:t>.</w:t>
            </w:r>
            <w:r>
              <w:rPr>
                <w:szCs w:val="21"/>
              </w:rPr>
              <w:t>2</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32</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6</w:t>
            </w:r>
            <w:r>
              <w:rPr>
                <w:rFonts w:hint="eastAsia"/>
                <w:szCs w:val="21"/>
                <w:lang w:eastAsia="zh-CN"/>
              </w:rPr>
              <w:t>.</w:t>
            </w:r>
            <w:r>
              <w:rPr>
                <w:szCs w:val="21"/>
              </w:rPr>
              <w:t>36</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苊</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8</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77</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3</w:t>
            </w:r>
            <w:r>
              <w:rPr>
                <w:rFonts w:hint="eastAsia"/>
                <w:szCs w:val="21"/>
                <w:lang w:eastAsia="zh-CN"/>
              </w:rPr>
              <w:t>.</w:t>
            </w:r>
            <w:r>
              <w:rPr>
                <w:szCs w:val="21"/>
              </w:rPr>
              <w:t>19</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芴</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65</w:t>
            </w:r>
            <w:r>
              <w:rPr>
                <w:rFonts w:hint="eastAsia"/>
                <w:szCs w:val="21"/>
                <w:lang w:eastAsia="zh-CN"/>
              </w:rPr>
              <w:t>.</w:t>
            </w:r>
            <w:r>
              <w:rPr>
                <w:szCs w:val="21"/>
              </w:rPr>
              <w:t>3</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7</w:t>
            </w:r>
            <w:r>
              <w:rPr>
                <w:rFonts w:hint="eastAsia"/>
                <w:szCs w:val="21"/>
                <w:lang w:eastAsia="zh-CN"/>
              </w:rPr>
              <w:t>.</w:t>
            </w:r>
            <w:r>
              <w:rPr>
                <w:szCs w:val="21"/>
              </w:rPr>
              <w:t>81</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37</w:t>
            </w:r>
            <w:r>
              <w:rPr>
                <w:rFonts w:hint="eastAsia"/>
                <w:szCs w:val="21"/>
                <w:lang w:eastAsia="zh-CN"/>
              </w:rPr>
              <w:t>.</w:t>
            </w:r>
            <w:r>
              <w:rPr>
                <w:szCs w:val="21"/>
              </w:rPr>
              <w:t>03</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芴</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29</w:t>
            </w:r>
            <w:r>
              <w:rPr>
                <w:rFonts w:hint="eastAsia"/>
                <w:szCs w:val="21"/>
                <w:lang w:eastAsia="zh-CN"/>
              </w:rPr>
              <w:t>.</w:t>
            </w:r>
            <w:r>
              <w:rPr>
                <w:szCs w:val="21"/>
              </w:rPr>
              <w:t>6</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4</w:t>
            </w:r>
            <w:r>
              <w:rPr>
                <w:rFonts w:hint="eastAsia"/>
                <w:szCs w:val="21"/>
                <w:lang w:eastAsia="zh-CN"/>
              </w:rPr>
              <w:t>.</w:t>
            </w:r>
            <w:r>
              <w:rPr>
                <w:szCs w:val="21"/>
              </w:rPr>
              <w:t>26</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15</w:t>
            </w:r>
            <w:r>
              <w:rPr>
                <w:rFonts w:hint="eastAsia"/>
                <w:szCs w:val="21"/>
                <w:lang w:eastAsia="zh-CN"/>
              </w:rPr>
              <w:t>.</w:t>
            </w:r>
            <w:r>
              <w:rPr>
                <w:szCs w:val="21"/>
              </w:rPr>
              <w:t>05</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芴</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30</w:t>
            </w:r>
            <w:r>
              <w:rPr>
                <w:rFonts w:hint="eastAsia"/>
                <w:szCs w:val="21"/>
                <w:lang w:eastAsia="zh-CN"/>
              </w:rPr>
              <w:t>.</w:t>
            </w:r>
            <w:r>
              <w:rPr>
                <w:szCs w:val="21"/>
              </w:rPr>
              <w:t>6</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8</w:t>
            </w:r>
            <w:r>
              <w:rPr>
                <w:rFonts w:hint="eastAsia"/>
                <w:szCs w:val="21"/>
                <w:lang w:eastAsia="zh-CN"/>
              </w:rPr>
              <w:t>.</w:t>
            </w:r>
            <w:r>
              <w:rPr>
                <w:szCs w:val="21"/>
              </w:rPr>
              <w:t>30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12</w:t>
            </w:r>
            <w:r>
              <w:rPr>
                <w:rFonts w:hint="eastAsia"/>
                <w:szCs w:val="21"/>
                <w:lang w:eastAsia="zh-CN"/>
              </w:rPr>
              <w:t>.</w:t>
            </w:r>
            <w:r>
              <w:rPr>
                <w:szCs w:val="21"/>
              </w:rPr>
              <w:t>25</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芴</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6</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89</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13</w:t>
            </w:r>
            <w:r>
              <w:rPr>
                <w:rFonts w:hint="eastAsia"/>
                <w:szCs w:val="21"/>
                <w:lang w:eastAsia="zh-CN"/>
              </w:rPr>
              <w:t>.</w:t>
            </w:r>
            <w:r>
              <w:rPr>
                <w:szCs w:val="21"/>
              </w:rPr>
              <w:t>13</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菲</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72</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8</w:t>
            </w:r>
            <w:r>
              <w:rPr>
                <w:rFonts w:hint="eastAsia"/>
                <w:szCs w:val="21"/>
                <w:lang w:eastAsia="zh-CN"/>
              </w:rPr>
              <w:t>.</w:t>
            </w:r>
            <w:r>
              <w:rPr>
                <w:szCs w:val="21"/>
              </w:rPr>
              <w:t>67</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45</w:t>
            </w:r>
            <w:r>
              <w:rPr>
                <w:rFonts w:hint="eastAsia"/>
                <w:szCs w:val="21"/>
                <w:lang w:eastAsia="zh-CN"/>
              </w:rPr>
              <w:t>.</w:t>
            </w:r>
            <w:r>
              <w:rPr>
                <w:szCs w:val="21"/>
              </w:rPr>
              <w:t>58</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菲</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31</w:t>
            </w:r>
            <w:r>
              <w:rPr>
                <w:rFonts w:hint="eastAsia"/>
                <w:szCs w:val="21"/>
                <w:lang w:eastAsia="zh-CN"/>
              </w:rPr>
              <w:t>.</w:t>
            </w:r>
            <w:r>
              <w:rPr>
                <w:szCs w:val="21"/>
              </w:rPr>
              <w:t>7</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3</w:t>
            </w:r>
            <w:r>
              <w:rPr>
                <w:rFonts w:hint="eastAsia"/>
                <w:szCs w:val="21"/>
                <w:lang w:eastAsia="zh-CN"/>
              </w:rPr>
              <w:t>.</w:t>
            </w:r>
            <w:r>
              <w:rPr>
                <w:szCs w:val="21"/>
              </w:rPr>
              <w:t>06</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20</w:t>
            </w:r>
            <w:r>
              <w:rPr>
                <w:rFonts w:hint="eastAsia"/>
                <w:szCs w:val="21"/>
                <w:lang w:eastAsia="zh-CN"/>
              </w:rPr>
              <w:t>.</w:t>
            </w:r>
            <w:r>
              <w:rPr>
                <w:szCs w:val="21"/>
              </w:rPr>
              <w:t>41</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菲</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21</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196</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14</w:t>
            </w:r>
            <w:r>
              <w:rPr>
                <w:rFonts w:hint="eastAsia"/>
                <w:szCs w:val="21"/>
                <w:lang w:eastAsia="zh-CN"/>
              </w:rPr>
              <w:t>.</w:t>
            </w:r>
            <w:r>
              <w:rPr>
                <w:szCs w:val="21"/>
              </w:rPr>
              <w:t>95</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84</w:t>
            </w:r>
            <w:r>
              <w:rPr>
                <w:rFonts w:hint="eastAsia"/>
                <w:szCs w:val="21"/>
                <w:lang w:eastAsia="zh-CN"/>
              </w:rPr>
              <w:t>.</w:t>
            </w:r>
            <w:r>
              <w:rPr>
                <w:szCs w:val="21"/>
              </w:rPr>
              <w:t>32</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菲</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16</w:t>
            </w:r>
            <w:r>
              <w:rPr>
                <w:rFonts w:hint="eastAsia"/>
                <w:szCs w:val="21"/>
                <w:lang w:eastAsia="zh-CN"/>
              </w:rPr>
              <w:t>.</w:t>
            </w:r>
            <w:r>
              <w:rPr>
                <w:szCs w:val="21"/>
              </w:rPr>
              <w:t>0</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14</w:t>
            </w:r>
            <w:r>
              <w:rPr>
                <w:rFonts w:hint="eastAsia"/>
                <w:szCs w:val="21"/>
                <w:lang w:eastAsia="zh-CN"/>
              </w:rPr>
              <w:t>.</w:t>
            </w:r>
            <w:r>
              <w:rPr>
                <w:szCs w:val="21"/>
              </w:rPr>
              <w:t>98</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31</w:t>
            </w:r>
            <w:r>
              <w:rPr>
                <w:rFonts w:hint="eastAsia"/>
                <w:szCs w:val="21"/>
                <w:lang w:eastAsia="zh-CN"/>
              </w:rPr>
              <w:t>.</w:t>
            </w:r>
            <w:r>
              <w:rPr>
                <w:szCs w:val="21"/>
              </w:rPr>
              <w:t>43</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71</w:t>
            </w:r>
            <w:r>
              <w:rPr>
                <w:rFonts w:hint="eastAsia"/>
                <w:szCs w:val="21"/>
                <w:lang w:eastAsia="zh-CN"/>
              </w:rPr>
              <w:t>.</w:t>
            </w:r>
            <w:r>
              <w:rPr>
                <w:szCs w:val="21"/>
              </w:rPr>
              <w:t>7</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7</w:t>
            </w:r>
            <w:r>
              <w:rPr>
                <w:rFonts w:hint="eastAsia"/>
                <w:szCs w:val="21"/>
                <w:lang w:eastAsia="zh-CN"/>
              </w:rPr>
              <w:t>.</w:t>
            </w:r>
            <w:r>
              <w:rPr>
                <w:szCs w:val="21"/>
              </w:rPr>
              <w:t>96</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50</w:t>
            </w:r>
            <w:r>
              <w:rPr>
                <w:rFonts w:hint="eastAsia"/>
                <w:szCs w:val="21"/>
                <w:lang w:eastAsia="zh-CN"/>
              </w:rPr>
              <w:t>.</w:t>
            </w:r>
            <w:r>
              <w:rPr>
                <w:szCs w:val="21"/>
              </w:rPr>
              <w:t>14</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33</w:t>
            </w:r>
            <w:r>
              <w:rPr>
                <w:rFonts w:hint="eastAsia"/>
                <w:szCs w:val="21"/>
                <w:lang w:eastAsia="zh-CN"/>
              </w:rPr>
              <w:t>.</w:t>
            </w:r>
            <w:r>
              <w:rPr>
                <w:szCs w:val="21"/>
              </w:rPr>
              <w:t>0</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3</w:t>
            </w:r>
            <w:r>
              <w:rPr>
                <w:rFonts w:hint="eastAsia"/>
                <w:szCs w:val="21"/>
                <w:lang w:eastAsia="zh-CN"/>
              </w:rPr>
              <w:t>.</w:t>
            </w:r>
            <w:r>
              <w:rPr>
                <w:szCs w:val="21"/>
              </w:rPr>
              <w:t>37</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20</w:t>
            </w:r>
            <w:r>
              <w:rPr>
                <w:rFonts w:hint="eastAsia"/>
                <w:szCs w:val="21"/>
                <w:lang w:eastAsia="zh-CN"/>
              </w:rPr>
              <w:t>.</w:t>
            </w:r>
            <w:r>
              <w:rPr>
                <w:szCs w:val="21"/>
              </w:rPr>
              <w:t>18</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57</w:t>
            </w:r>
            <w:r>
              <w:rPr>
                <w:rFonts w:hint="eastAsia"/>
                <w:szCs w:val="21"/>
                <w:lang w:eastAsia="zh-CN"/>
              </w:rPr>
              <w:t>.</w:t>
            </w:r>
            <w:r>
              <w:rPr>
                <w:szCs w:val="21"/>
              </w:rPr>
              <w:t>5</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6</w:t>
            </w:r>
            <w:r>
              <w:rPr>
                <w:rFonts w:hint="eastAsia"/>
                <w:szCs w:val="21"/>
                <w:lang w:eastAsia="zh-CN"/>
              </w:rPr>
              <w:t>.</w:t>
            </w:r>
            <w:r>
              <w:rPr>
                <w:szCs w:val="21"/>
              </w:rPr>
              <w:t>91</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30</w:t>
            </w:r>
            <w:r>
              <w:rPr>
                <w:rFonts w:hint="eastAsia"/>
                <w:szCs w:val="21"/>
                <w:lang w:eastAsia="zh-CN"/>
              </w:rPr>
              <w:t>.</w:t>
            </w:r>
            <w:r>
              <w:rPr>
                <w:szCs w:val="21"/>
              </w:rPr>
              <w:t>62</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5</w:t>
            </w:r>
            <w:r>
              <w:rPr>
                <w:rFonts w:hint="eastAsia"/>
                <w:szCs w:val="21"/>
                <w:lang w:eastAsia="zh-CN"/>
              </w:rPr>
              <w:t>.</w:t>
            </w:r>
            <w:r>
              <w:rPr>
                <w:szCs w:val="21"/>
              </w:rPr>
              <w:t>2</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3</w:t>
            </w:r>
            <w:r>
              <w:rPr>
                <w:rFonts w:hint="eastAsia"/>
                <w:szCs w:val="21"/>
                <w:lang w:eastAsia="zh-CN"/>
              </w:rPr>
              <w:t>.</w:t>
            </w:r>
            <w:r>
              <w:rPr>
                <w:szCs w:val="21"/>
              </w:rPr>
              <w:t>31</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11</w:t>
            </w:r>
            <w:r>
              <w:rPr>
                <w:rFonts w:hint="eastAsia"/>
                <w:szCs w:val="21"/>
                <w:lang w:eastAsia="zh-CN"/>
              </w:rPr>
              <w:t>.</w:t>
            </w:r>
            <w:r>
              <w:rPr>
                <w:szCs w:val="21"/>
              </w:rPr>
              <w:t>98</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76</w:t>
            </w:r>
            <w:r>
              <w:rPr>
                <w:rFonts w:hint="eastAsia"/>
                <w:szCs w:val="21"/>
                <w:lang w:eastAsia="zh-CN"/>
              </w:rPr>
              <w:t>.</w:t>
            </w:r>
            <w:r>
              <w:rPr>
                <w:szCs w:val="21"/>
              </w:rPr>
              <w:t>5</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9</w:t>
            </w:r>
            <w:r>
              <w:rPr>
                <w:rFonts w:hint="eastAsia"/>
                <w:szCs w:val="21"/>
                <w:lang w:eastAsia="zh-CN"/>
              </w:rPr>
              <w:t>.</w:t>
            </w:r>
            <w:r>
              <w:rPr>
                <w:szCs w:val="21"/>
              </w:rPr>
              <w:t>02</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53</w:t>
            </w:r>
            <w:r>
              <w:rPr>
                <w:rFonts w:hint="eastAsia"/>
                <w:szCs w:val="21"/>
                <w:lang w:eastAsia="zh-CN"/>
              </w:rPr>
              <w:t>.</w:t>
            </w:r>
            <w:r>
              <w:rPr>
                <w:szCs w:val="21"/>
              </w:rPr>
              <w:t>44</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33</w:t>
            </w:r>
            <w:r>
              <w:rPr>
                <w:rFonts w:hint="eastAsia"/>
                <w:szCs w:val="21"/>
                <w:lang w:eastAsia="zh-CN"/>
              </w:rPr>
              <w:t>.</w:t>
            </w:r>
            <w:r>
              <w:rPr>
                <w:szCs w:val="21"/>
              </w:rPr>
              <w:t>8</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4</w:t>
            </w:r>
            <w:r>
              <w:rPr>
                <w:rFonts w:hint="eastAsia"/>
                <w:szCs w:val="21"/>
                <w:lang w:eastAsia="zh-CN"/>
              </w:rPr>
              <w:t>.</w:t>
            </w:r>
            <w:r>
              <w:rPr>
                <w:szCs w:val="21"/>
              </w:rPr>
              <w:t>31</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23</w:t>
            </w:r>
            <w:r>
              <w:rPr>
                <w:rFonts w:hint="eastAsia"/>
                <w:szCs w:val="21"/>
                <w:lang w:eastAsia="zh-CN"/>
              </w:rPr>
              <w:t>.</w:t>
            </w:r>
            <w:r>
              <w:rPr>
                <w:szCs w:val="21"/>
              </w:rPr>
              <w:t>64</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21</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185</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13</w:t>
            </w:r>
            <w:r>
              <w:rPr>
                <w:rFonts w:hint="eastAsia"/>
                <w:szCs w:val="21"/>
                <w:lang w:eastAsia="zh-CN"/>
              </w:rPr>
              <w:t>.</w:t>
            </w:r>
            <w:r>
              <w:rPr>
                <w:szCs w:val="21"/>
              </w:rPr>
              <w:t>57</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95</w:t>
            </w:r>
            <w:r>
              <w:rPr>
                <w:rFonts w:hint="eastAsia"/>
                <w:szCs w:val="21"/>
                <w:lang w:eastAsia="zh-CN"/>
              </w:rPr>
              <w:t>.</w:t>
            </w:r>
            <w:r>
              <w:rPr>
                <w:szCs w:val="21"/>
              </w:rPr>
              <w:t>51</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14</w:t>
            </w:r>
            <w:r>
              <w:rPr>
                <w:rFonts w:hint="eastAsia"/>
                <w:szCs w:val="21"/>
                <w:lang w:eastAsia="zh-CN"/>
              </w:rPr>
              <w:t>.</w:t>
            </w:r>
            <w:r>
              <w:rPr>
                <w:szCs w:val="21"/>
              </w:rPr>
              <w:t>9</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3</w:t>
            </w:r>
            <w:r>
              <w:rPr>
                <w:rFonts w:hint="eastAsia"/>
                <w:szCs w:val="21"/>
                <w:lang w:eastAsia="zh-CN"/>
              </w:rPr>
              <w:t>.</w:t>
            </w:r>
            <w:r>
              <w:rPr>
                <w:szCs w:val="21"/>
              </w:rPr>
              <w:t>74</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13</w:t>
            </w:r>
            <w:r>
              <w:rPr>
                <w:rFonts w:hint="eastAsia"/>
                <w:szCs w:val="21"/>
                <w:lang w:eastAsia="zh-CN"/>
              </w:rPr>
              <w:t>.</w:t>
            </w:r>
            <w:r>
              <w:rPr>
                <w:szCs w:val="21"/>
              </w:rPr>
              <w:t>22</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73</w:t>
            </w:r>
            <w:r>
              <w:rPr>
                <w:rFonts w:hint="eastAsia"/>
                <w:szCs w:val="21"/>
                <w:lang w:eastAsia="zh-CN"/>
              </w:rPr>
              <w:t>.</w:t>
            </w:r>
            <w:r>
              <w:rPr>
                <w:szCs w:val="21"/>
              </w:rPr>
              <w:t>2</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8</w:t>
            </w:r>
            <w:r>
              <w:rPr>
                <w:rFonts w:hint="eastAsia"/>
                <w:szCs w:val="21"/>
                <w:lang w:eastAsia="zh-CN"/>
              </w:rPr>
              <w:t>.</w:t>
            </w:r>
            <w:r>
              <w:rPr>
                <w:szCs w:val="21"/>
              </w:rPr>
              <w:t>56</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50</w:t>
            </w:r>
            <w:r>
              <w:rPr>
                <w:rFonts w:hint="eastAsia"/>
                <w:szCs w:val="21"/>
                <w:lang w:eastAsia="zh-CN"/>
              </w:rPr>
              <w:t>.</w:t>
            </w:r>
            <w:r>
              <w:rPr>
                <w:szCs w:val="21"/>
              </w:rPr>
              <w:t>65</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33</w:t>
            </w:r>
            <w:r>
              <w:rPr>
                <w:rFonts w:hint="eastAsia"/>
                <w:szCs w:val="21"/>
                <w:lang w:eastAsia="zh-CN"/>
              </w:rPr>
              <w:t>.</w:t>
            </w:r>
            <w:r>
              <w:rPr>
                <w:szCs w:val="21"/>
              </w:rPr>
              <w:t>5</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3</w:t>
            </w:r>
            <w:r>
              <w:rPr>
                <w:rFonts w:hint="eastAsia"/>
                <w:szCs w:val="21"/>
                <w:lang w:eastAsia="zh-CN"/>
              </w:rPr>
              <w:t>.</w:t>
            </w:r>
            <w:r>
              <w:rPr>
                <w:szCs w:val="21"/>
              </w:rPr>
              <w:t>54</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25</w:t>
            </w:r>
            <w:r>
              <w:rPr>
                <w:rFonts w:hint="eastAsia"/>
                <w:szCs w:val="21"/>
                <w:lang w:eastAsia="zh-CN"/>
              </w:rPr>
              <w:t>.</w:t>
            </w:r>
            <w:r>
              <w:rPr>
                <w:szCs w:val="21"/>
              </w:rPr>
              <w:t>20</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139</w:t>
            </w:r>
            <w:r>
              <w:rPr>
                <w:rFonts w:hint="eastAsia"/>
                <w:szCs w:val="21"/>
                <w:lang w:eastAsia="zh-CN"/>
              </w:rPr>
              <w:t>.</w:t>
            </w:r>
            <w:r>
              <w:rPr>
                <w:szCs w:val="21"/>
              </w:rPr>
              <w:t>8</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12</w:t>
            </w:r>
            <w:r>
              <w:rPr>
                <w:rFonts w:hint="eastAsia"/>
                <w:szCs w:val="21"/>
                <w:lang w:eastAsia="zh-CN"/>
              </w:rPr>
              <w:t>.</w:t>
            </w:r>
            <w:r>
              <w:rPr>
                <w:szCs w:val="21"/>
              </w:rPr>
              <w:t>57</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77</w:t>
            </w:r>
            <w:r>
              <w:rPr>
                <w:rFonts w:hint="eastAsia"/>
                <w:szCs w:val="21"/>
                <w:lang w:eastAsia="zh-CN"/>
              </w:rPr>
              <w:t>.</w:t>
            </w:r>
            <w:r>
              <w:rPr>
                <w:szCs w:val="21"/>
              </w:rPr>
              <w:t>23</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芘</w:t>
            </w:r>
          </w:p>
        </w:tc>
        <w:tc>
          <w:tcPr>
            <w:tcW w:w="1774"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31</w:t>
            </w:r>
            <w:r>
              <w:rPr>
                <w:rFonts w:hint="eastAsia"/>
                <w:szCs w:val="21"/>
                <w:lang w:eastAsia="zh-CN"/>
              </w:rPr>
              <w:t>.</w:t>
            </w:r>
            <w:r>
              <w:rPr>
                <w:szCs w:val="21"/>
              </w:rPr>
              <w:t>4</w:t>
            </w:r>
          </w:p>
        </w:tc>
        <w:tc>
          <w:tcPr>
            <w:tcW w:w="1768"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5</w:t>
            </w:r>
            <w:r>
              <w:rPr>
                <w:rFonts w:hint="eastAsia"/>
                <w:szCs w:val="21"/>
                <w:lang w:eastAsia="zh-CN"/>
              </w:rPr>
              <w:t>.</w:t>
            </w:r>
            <w:r>
              <w:rPr>
                <w:szCs w:val="21"/>
              </w:rPr>
              <w:t>05</w:t>
            </w:r>
          </w:p>
        </w:tc>
        <w:tc>
          <w:tcPr>
            <w:tcW w:w="177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szCs w:val="21"/>
              </w:rPr>
            </w:pPr>
            <w:r>
              <w:rPr>
                <w:szCs w:val="21"/>
              </w:rPr>
              <w:t>20</w:t>
            </w:r>
            <w:r>
              <w:rPr>
                <w:rFonts w:hint="eastAsia"/>
                <w:szCs w:val="21"/>
                <w:lang w:eastAsia="zh-CN"/>
              </w:rPr>
              <w:t>.</w:t>
            </w:r>
            <w:r>
              <w:rPr>
                <w:szCs w:val="21"/>
              </w:rPr>
              <w:t>16</w:t>
            </w:r>
          </w:p>
        </w:tc>
      </w:tr>
    </w:tbl>
    <w:p>
      <w:pPr>
        <w:rPr>
          <w:szCs w:val="21"/>
        </w:rPr>
      </w:pPr>
    </w:p>
    <w:tbl>
      <w:tblPr>
        <w:tblStyle w:val="44"/>
        <w:tblW w:w="9468" w:type="dxa"/>
        <w:tblInd w:w="0" w:type="dxa"/>
        <w:tblLayout w:type="fixed"/>
        <w:tblCellMar>
          <w:top w:w="0" w:type="dxa"/>
          <w:left w:w="57" w:type="dxa"/>
          <w:bottom w:w="0" w:type="dxa"/>
          <w:right w:w="57" w:type="dxa"/>
        </w:tblCellMar>
      </w:tblPr>
      <w:tblGrid>
        <w:gridCol w:w="2373"/>
        <w:gridCol w:w="1774"/>
        <w:gridCol w:w="1774"/>
        <w:gridCol w:w="1768"/>
        <w:gridCol w:w="1779"/>
      </w:tblGrid>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b/>
                <w:szCs w:val="21"/>
              </w:rPr>
            </w:pPr>
            <w:r>
              <w:rPr>
                <w:b/>
                <w:szCs w:val="21"/>
              </w:rPr>
              <w:t>参数</w:t>
            </w:r>
          </w:p>
        </w:tc>
        <w:tc>
          <w:tcPr>
            <w:tcW w:w="1774" w:type="dxa"/>
            <w:tcBorders>
              <w:top w:val="single" w:color="auto" w:sz="4" w:space="0"/>
              <w:left w:val="single" w:color="auto" w:sz="4" w:space="0"/>
            </w:tcBorders>
            <w:shd w:val="clear" w:color="auto" w:fill="FFFFFF"/>
            <w:vAlign w:val="center"/>
          </w:tcPr>
          <w:p>
            <w:pPr>
              <w:jc w:val="center"/>
              <w:rPr>
                <w:b/>
                <w:szCs w:val="21"/>
              </w:rPr>
            </w:pPr>
            <w:r>
              <w:rPr>
                <w:b/>
                <w:szCs w:val="21"/>
              </w:rPr>
              <w:t>检测结果数量（N）</w:t>
            </w:r>
          </w:p>
        </w:tc>
        <w:tc>
          <w:tcPr>
            <w:tcW w:w="1774" w:type="dxa"/>
            <w:tcBorders>
              <w:top w:val="single" w:color="auto" w:sz="4" w:space="0"/>
              <w:left w:val="single" w:color="auto" w:sz="4" w:space="0"/>
            </w:tcBorders>
            <w:shd w:val="clear" w:color="auto" w:fill="FFFFFF"/>
            <w:vAlign w:val="center"/>
          </w:tcPr>
          <w:p>
            <w:pPr>
              <w:jc w:val="center"/>
              <w:rPr>
                <w:b/>
                <w:szCs w:val="21"/>
              </w:rPr>
            </w:pPr>
            <w:r>
              <w:rPr>
                <w:b/>
                <w:szCs w:val="21"/>
              </w:rPr>
              <w:t xml:space="preserve">平均值（m） </w:t>
            </w:r>
            <w:r>
              <w:rPr>
                <w:szCs w:val="21"/>
              </w:rPr>
              <w:t>mg/kg</w:t>
            </w:r>
          </w:p>
        </w:tc>
        <w:tc>
          <w:tcPr>
            <w:tcW w:w="1768" w:type="dxa"/>
            <w:tcBorders>
              <w:top w:val="single" w:color="auto" w:sz="4" w:space="0"/>
              <w:left w:val="single" w:color="auto" w:sz="4" w:space="0"/>
            </w:tcBorders>
            <w:shd w:val="clear" w:color="auto" w:fill="FFFFFF"/>
            <w:vAlign w:val="center"/>
          </w:tcPr>
          <w:p>
            <w:pPr>
              <w:jc w:val="center"/>
              <w:rPr>
                <w:b/>
                <w:szCs w:val="21"/>
              </w:rPr>
            </w:pPr>
            <w:r>
              <w:rPr>
                <w:b/>
                <w:i/>
                <w:iCs/>
                <w:szCs w:val="21"/>
              </w:rPr>
              <w:t>r</w:t>
            </w:r>
          </w:p>
          <w:p>
            <w:pPr>
              <w:jc w:val="center"/>
              <w:rPr>
                <w:szCs w:val="21"/>
              </w:rPr>
            </w:pPr>
            <w:r>
              <w:rPr>
                <w:szCs w:val="21"/>
              </w:rPr>
              <w:t>mg/kg</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b/>
                <w:szCs w:val="21"/>
              </w:rPr>
            </w:pPr>
            <w:r>
              <w:rPr>
                <w:b/>
                <w:i/>
                <w:iCs/>
                <w:szCs w:val="21"/>
              </w:rPr>
              <w:t>R</w:t>
            </w:r>
          </w:p>
          <w:p>
            <w:pPr>
              <w:jc w:val="center"/>
              <w:rPr>
                <w:szCs w:val="21"/>
              </w:rPr>
            </w:pPr>
            <w:r>
              <w:rPr>
                <w:szCs w:val="21"/>
              </w:rPr>
              <w:t>mg/kg</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苯并[a]蒽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18</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78</w:t>
            </w:r>
            <w:r>
              <w:rPr>
                <w:rFonts w:hint="eastAsia"/>
                <w:szCs w:val="21"/>
                <w:lang w:eastAsia="zh-CN"/>
              </w:rPr>
              <w:t>.</w:t>
            </w:r>
            <w:r>
              <w:rPr>
                <w:szCs w:val="21"/>
              </w:rPr>
              <w:t>0</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11</w:t>
            </w:r>
            <w:r>
              <w:rPr>
                <w:rFonts w:hint="eastAsia"/>
                <w:szCs w:val="21"/>
                <w:lang w:eastAsia="zh-CN"/>
              </w:rPr>
              <w:t>.</w:t>
            </w:r>
            <w:r>
              <w:rPr>
                <w:szCs w:val="21"/>
              </w:rPr>
              <w:t>34</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34</w:t>
            </w:r>
            <w:r>
              <w:rPr>
                <w:rFonts w:hint="eastAsia"/>
                <w:szCs w:val="21"/>
                <w:lang w:eastAsia="zh-CN"/>
              </w:rPr>
              <w:t>.</w:t>
            </w:r>
            <w:r>
              <w:rPr>
                <w:szCs w:val="21"/>
              </w:rPr>
              <w:t>13</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苯并[a]蒽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21</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28</w:t>
            </w:r>
            <w:r>
              <w:rPr>
                <w:rFonts w:hint="eastAsia"/>
                <w:szCs w:val="21"/>
                <w:lang w:eastAsia="zh-CN"/>
              </w:rPr>
              <w:t>.</w:t>
            </w:r>
            <w:r>
              <w:rPr>
                <w:szCs w:val="21"/>
              </w:rPr>
              <w:t>5</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5</w:t>
            </w:r>
            <w:r>
              <w:rPr>
                <w:rFonts w:hint="eastAsia"/>
                <w:szCs w:val="21"/>
                <w:lang w:eastAsia="zh-CN"/>
              </w:rPr>
              <w:t>.</w:t>
            </w:r>
            <w:r>
              <w:rPr>
                <w:szCs w:val="21"/>
              </w:rPr>
              <w:t>35</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22</w:t>
            </w:r>
            <w:r>
              <w:rPr>
                <w:rFonts w:hint="eastAsia"/>
                <w:szCs w:val="21"/>
                <w:lang w:eastAsia="zh-CN"/>
              </w:rPr>
              <w:t>.</w:t>
            </w:r>
            <w:r>
              <w:rPr>
                <w:szCs w:val="21"/>
              </w:rPr>
              <w:t>72</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苯并[a]蒽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71</w:t>
            </w:r>
            <w:r>
              <w:rPr>
                <w:rFonts w:hint="eastAsia"/>
                <w:szCs w:val="21"/>
                <w:lang w:eastAsia="zh-CN"/>
              </w:rPr>
              <w:t>.</w:t>
            </w:r>
            <w:r>
              <w:rPr>
                <w:szCs w:val="21"/>
              </w:rPr>
              <w:t>9</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8</w:t>
            </w:r>
            <w:r>
              <w:rPr>
                <w:rFonts w:hint="eastAsia"/>
                <w:szCs w:val="21"/>
                <w:lang w:eastAsia="zh-CN"/>
              </w:rPr>
              <w:t>.</w:t>
            </w:r>
            <w:r>
              <w:rPr>
                <w:szCs w:val="21"/>
              </w:rPr>
              <w:t>86</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15</w:t>
            </w:r>
            <w:r>
              <w:rPr>
                <w:rFonts w:hint="eastAsia"/>
                <w:szCs w:val="21"/>
                <w:lang w:eastAsia="zh-CN"/>
              </w:rPr>
              <w:t>.</w:t>
            </w:r>
            <w:r>
              <w:rPr>
                <w:szCs w:val="21"/>
              </w:rPr>
              <w:t>50</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苯并[a]蒽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21</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1.6</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39</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86</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rFonts w:hint="eastAsia" w:eastAsia="宋体"/>
                <w:szCs w:val="21"/>
                <w:lang w:eastAsia="zh-CN"/>
              </w:rPr>
            </w:pPr>
            <w:r>
              <w:rPr>
                <w:rFonts w:hint="eastAsia"/>
                <w:szCs w:val="21"/>
                <w:lang w:eastAsia="zh-CN"/>
              </w:rPr>
              <w:t>䓛</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25</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3</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86</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18</w:t>
            </w:r>
            <w:r>
              <w:rPr>
                <w:rFonts w:hint="eastAsia"/>
                <w:szCs w:val="21"/>
                <w:lang w:eastAsia="zh-CN"/>
              </w:rPr>
              <w:t>.</w:t>
            </w:r>
            <w:r>
              <w:rPr>
                <w:szCs w:val="21"/>
              </w:rPr>
              <w:t>86</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rFonts w:hint="eastAsia" w:eastAsia="宋体"/>
                <w:szCs w:val="21"/>
                <w:lang w:eastAsia="zh-CN"/>
              </w:rPr>
            </w:pPr>
            <w:r>
              <w:rPr>
                <w:rFonts w:hint="eastAsia"/>
                <w:szCs w:val="21"/>
                <w:lang w:eastAsia="zh-CN"/>
              </w:rPr>
              <w:t>䓛</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25</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04</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8</w:t>
            </w:r>
            <w:r>
              <w:rPr>
                <w:rFonts w:hint="eastAsia"/>
                <w:szCs w:val="21"/>
                <w:lang w:eastAsia="zh-CN"/>
              </w:rPr>
              <w:t>.</w:t>
            </w:r>
            <w:r>
              <w:rPr>
                <w:szCs w:val="21"/>
              </w:rPr>
              <w:t>62</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rFonts w:hint="eastAsia" w:eastAsia="宋体"/>
                <w:szCs w:val="21"/>
                <w:lang w:eastAsia="zh-CN"/>
              </w:rPr>
            </w:pPr>
            <w:r>
              <w:rPr>
                <w:rFonts w:hint="eastAsia"/>
                <w:szCs w:val="21"/>
                <w:lang w:eastAsia="zh-CN"/>
              </w:rPr>
              <w:t>䓛</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74</w:t>
            </w:r>
            <w:r>
              <w:rPr>
                <w:rFonts w:hint="eastAsia"/>
                <w:szCs w:val="21"/>
                <w:lang w:eastAsia="zh-CN"/>
              </w:rPr>
              <w:t>.</w:t>
            </w:r>
            <w:r>
              <w:rPr>
                <w:szCs w:val="21"/>
              </w:rPr>
              <w:t>6</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10</w:t>
            </w:r>
            <w:r>
              <w:rPr>
                <w:rFonts w:hint="eastAsia"/>
                <w:szCs w:val="21"/>
                <w:lang w:eastAsia="zh-CN"/>
              </w:rPr>
              <w:t>.</w:t>
            </w:r>
            <w:r>
              <w:rPr>
                <w:szCs w:val="21"/>
              </w:rPr>
              <w:t>01</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24</w:t>
            </w:r>
            <w:r>
              <w:rPr>
                <w:rFonts w:hint="eastAsia"/>
                <w:szCs w:val="21"/>
                <w:lang w:eastAsia="zh-CN"/>
              </w:rPr>
              <w:t>.</w:t>
            </w:r>
            <w:r>
              <w:rPr>
                <w:szCs w:val="21"/>
              </w:rPr>
              <w:t>37</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rFonts w:hint="eastAsia" w:eastAsia="宋体"/>
                <w:szCs w:val="21"/>
                <w:lang w:eastAsia="zh-CN"/>
              </w:rPr>
            </w:pPr>
            <w:r>
              <w:rPr>
                <w:rFonts w:hint="eastAsia"/>
                <w:szCs w:val="21"/>
                <w:lang w:eastAsia="zh-CN"/>
              </w:rPr>
              <w:t>䓛</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2.5</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55</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3</w:t>
            </w:r>
            <w:r>
              <w:rPr>
                <w:rFonts w:hint="eastAsia"/>
                <w:szCs w:val="21"/>
                <w:lang w:eastAsia="zh-CN"/>
              </w:rPr>
              <w:t>.</w:t>
            </w:r>
            <w:r>
              <w:rPr>
                <w:szCs w:val="21"/>
              </w:rPr>
              <w:t>18</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苯并[b]荧蒽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20</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58</w:t>
            </w:r>
            <w:r>
              <w:rPr>
                <w:rFonts w:hint="eastAsia"/>
                <w:szCs w:val="21"/>
                <w:lang w:eastAsia="zh-CN"/>
              </w:rPr>
              <w:t>.</w:t>
            </w:r>
            <w:r>
              <w:rPr>
                <w:szCs w:val="21"/>
              </w:rPr>
              <w:t>3</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9</w:t>
            </w:r>
            <w:r>
              <w:rPr>
                <w:rFonts w:hint="eastAsia"/>
                <w:szCs w:val="21"/>
                <w:lang w:eastAsia="zh-CN"/>
              </w:rPr>
              <w:t>.</w:t>
            </w:r>
            <w:r>
              <w:rPr>
                <w:szCs w:val="21"/>
              </w:rPr>
              <w:t>72</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11</w:t>
            </w:r>
            <w:r>
              <w:rPr>
                <w:rFonts w:hint="eastAsia"/>
                <w:szCs w:val="21"/>
                <w:lang w:eastAsia="zh-CN"/>
              </w:rPr>
              <w:t>.</w:t>
            </w:r>
            <w:r>
              <w:rPr>
                <w:szCs w:val="21"/>
              </w:rPr>
              <w:t>73</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苯并[b]荧蒽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20</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2.9</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48</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8</w:t>
            </w:r>
            <w:r>
              <w:rPr>
                <w:rFonts w:hint="eastAsia"/>
                <w:szCs w:val="21"/>
                <w:lang w:eastAsia="zh-CN"/>
              </w:rPr>
              <w:t>.</w:t>
            </w:r>
            <w:r>
              <w:rPr>
                <w:szCs w:val="21"/>
              </w:rPr>
              <w:t>15</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苯并[j]荧蒽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20</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82</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苯并[j]荧蒽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20</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82</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苯并[j]荧蒽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20</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22</w:t>
            </w:r>
            <w:r>
              <w:rPr>
                <w:rFonts w:hint="eastAsia"/>
                <w:szCs w:val="21"/>
                <w:lang w:eastAsia="zh-CN"/>
              </w:rPr>
              <w:t>.</w:t>
            </w:r>
            <w:r>
              <w:rPr>
                <w:szCs w:val="21"/>
              </w:rPr>
              <w:t>8</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6</w:t>
            </w:r>
            <w:r>
              <w:rPr>
                <w:rFonts w:hint="eastAsia"/>
                <w:szCs w:val="21"/>
                <w:lang w:eastAsia="zh-CN"/>
              </w:rPr>
              <w:t>.</w:t>
            </w:r>
            <w:r>
              <w:rPr>
                <w:szCs w:val="21"/>
              </w:rPr>
              <w:t>49</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12</w:t>
            </w:r>
            <w:r>
              <w:rPr>
                <w:rFonts w:hint="eastAsia"/>
                <w:szCs w:val="21"/>
                <w:lang w:eastAsia="zh-CN"/>
              </w:rPr>
              <w:t>.</w:t>
            </w:r>
            <w:r>
              <w:rPr>
                <w:szCs w:val="21"/>
              </w:rPr>
              <w:t>81</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苯并[j]荧蒽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20</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0.5</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15</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13</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苯并[k]荧蒽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23</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08</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苯并[k]荧蒽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23</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06</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苯并[k]荧蒽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23</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25</w:t>
            </w:r>
            <w:r>
              <w:rPr>
                <w:rFonts w:hint="eastAsia"/>
                <w:szCs w:val="21"/>
                <w:lang w:eastAsia="zh-CN"/>
              </w:rPr>
              <w:t>.</w:t>
            </w:r>
            <w:r>
              <w:rPr>
                <w:szCs w:val="21"/>
              </w:rPr>
              <w:t>3</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4</w:t>
            </w:r>
            <w:r>
              <w:rPr>
                <w:rFonts w:hint="eastAsia"/>
                <w:szCs w:val="21"/>
                <w:lang w:eastAsia="zh-CN"/>
              </w:rPr>
              <w:t>.</w:t>
            </w:r>
            <w:r>
              <w:rPr>
                <w:szCs w:val="21"/>
              </w:rPr>
              <w:t>11</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6</w:t>
            </w:r>
            <w:r>
              <w:rPr>
                <w:rFonts w:hint="eastAsia"/>
                <w:szCs w:val="21"/>
                <w:lang w:eastAsia="zh-CN"/>
              </w:rPr>
              <w:t>.</w:t>
            </w:r>
            <w:r>
              <w:rPr>
                <w:szCs w:val="21"/>
              </w:rPr>
              <w:t>25</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苯并[k]荧蒽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23</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6</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32</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39</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苯并[e]芘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00</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苯并[e]芘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00</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苯并[e]芘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22</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48</w:t>
            </w:r>
            <w:r>
              <w:rPr>
                <w:rFonts w:hint="eastAsia"/>
                <w:szCs w:val="21"/>
                <w:lang w:eastAsia="zh-CN"/>
              </w:rPr>
              <w:t>.</w:t>
            </w:r>
            <w:r>
              <w:rPr>
                <w:szCs w:val="21"/>
              </w:rPr>
              <w:t>3</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6</w:t>
            </w:r>
            <w:r>
              <w:rPr>
                <w:rFonts w:hint="eastAsia"/>
                <w:szCs w:val="21"/>
                <w:lang w:eastAsia="zh-CN"/>
              </w:rPr>
              <w:t>.</w:t>
            </w:r>
            <w:r>
              <w:rPr>
                <w:szCs w:val="21"/>
              </w:rPr>
              <w:t>26</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21</w:t>
            </w:r>
            <w:r>
              <w:rPr>
                <w:rFonts w:hint="eastAsia"/>
                <w:szCs w:val="21"/>
                <w:lang w:eastAsia="zh-CN"/>
              </w:rPr>
              <w:t>.</w:t>
            </w:r>
            <w:r>
              <w:rPr>
                <w:szCs w:val="21"/>
              </w:rPr>
              <w:t>37</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苯并[e]芘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19</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3</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80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72</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苯并[a]芘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66</w:t>
            </w:r>
            <w:r>
              <w:rPr>
                <w:rFonts w:hint="eastAsia"/>
                <w:szCs w:val="21"/>
                <w:lang w:eastAsia="zh-CN"/>
              </w:rPr>
              <w:t>.</w:t>
            </w:r>
            <w:r>
              <w:rPr>
                <w:szCs w:val="21"/>
              </w:rPr>
              <w:t>5</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12</w:t>
            </w:r>
            <w:r>
              <w:rPr>
                <w:rFonts w:hint="eastAsia"/>
                <w:szCs w:val="21"/>
                <w:lang w:eastAsia="zh-CN"/>
              </w:rPr>
              <w:t>.</w:t>
            </w:r>
            <w:r>
              <w:rPr>
                <w:szCs w:val="21"/>
              </w:rPr>
              <w:t>43</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39</w:t>
            </w:r>
            <w:r>
              <w:rPr>
                <w:rFonts w:hint="eastAsia"/>
                <w:szCs w:val="21"/>
                <w:lang w:eastAsia="zh-CN"/>
              </w:rPr>
              <w:t>.</w:t>
            </w:r>
            <w:r>
              <w:rPr>
                <w:szCs w:val="21"/>
              </w:rPr>
              <w:t>57</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苯并[a]芘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30</w:t>
            </w:r>
            <w:r>
              <w:rPr>
                <w:rFonts w:hint="eastAsia"/>
                <w:szCs w:val="21"/>
                <w:lang w:eastAsia="zh-CN"/>
              </w:rPr>
              <w:t>.</w:t>
            </w:r>
            <w:r>
              <w:rPr>
                <w:szCs w:val="21"/>
              </w:rPr>
              <w:t>4</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4</w:t>
            </w:r>
            <w:r>
              <w:rPr>
                <w:rFonts w:hint="eastAsia"/>
                <w:szCs w:val="21"/>
                <w:lang w:eastAsia="zh-CN"/>
              </w:rPr>
              <w:t>.</w:t>
            </w:r>
            <w:r>
              <w:rPr>
                <w:szCs w:val="21"/>
              </w:rPr>
              <w:t>97</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19</w:t>
            </w:r>
            <w:r>
              <w:rPr>
                <w:rFonts w:hint="eastAsia"/>
                <w:szCs w:val="21"/>
                <w:lang w:eastAsia="zh-CN"/>
              </w:rPr>
              <w:t>.</w:t>
            </w:r>
            <w:r>
              <w:rPr>
                <w:szCs w:val="21"/>
              </w:rPr>
              <w:t>24</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苯并[a]芘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51</w:t>
            </w:r>
            <w:r>
              <w:rPr>
                <w:rFonts w:hint="eastAsia"/>
                <w:szCs w:val="21"/>
                <w:lang w:eastAsia="zh-CN"/>
              </w:rPr>
              <w:t>.</w:t>
            </w:r>
            <w:r>
              <w:rPr>
                <w:szCs w:val="21"/>
              </w:rPr>
              <w:t>7</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7</w:t>
            </w:r>
            <w:r>
              <w:rPr>
                <w:rFonts w:hint="eastAsia"/>
                <w:szCs w:val="21"/>
                <w:lang w:eastAsia="zh-CN"/>
              </w:rPr>
              <w:t>.</w:t>
            </w:r>
            <w:r>
              <w:rPr>
                <w:szCs w:val="21"/>
              </w:rPr>
              <w:t>44</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15</w:t>
            </w:r>
            <w:r>
              <w:rPr>
                <w:rFonts w:hint="eastAsia"/>
                <w:szCs w:val="21"/>
                <w:lang w:eastAsia="zh-CN"/>
              </w:rPr>
              <w:t>.</w:t>
            </w:r>
            <w:r>
              <w:rPr>
                <w:szCs w:val="21"/>
              </w:rPr>
              <w:t>60</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苯并[a]芘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3</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69</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85</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茚并[1</w:t>
            </w:r>
            <w:r>
              <w:rPr>
                <w:rFonts w:hint="eastAsia"/>
                <w:szCs w:val="21"/>
                <w:lang w:eastAsia="zh-CN"/>
              </w:rPr>
              <w:t>，</w:t>
            </w:r>
            <w:r>
              <w:rPr>
                <w:szCs w:val="21"/>
              </w:rPr>
              <w:t>2</w:t>
            </w:r>
            <w:r>
              <w:rPr>
                <w:rFonts w:hint="eastAsia"/>
                <w:szCs w:val="21"/>
                <w:lang w:eastAsia="zh-CN"/>
              </w:rPr>
              <w:t>，</w:t>
            </w:r>
            <w:r>
              <w:rPr>
                <w:szCs w:val="21"/>
              </w:rPr>
              <w:t>3cd]芘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47</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茚并[1</w:t>
            </w:r>
            <w:r>
              <w:rPr>
                <w:rFonts w:hint="eastAsia"/>
                <w:szCs w:val="21"/>
                <w:lang w:eastAsia="zh-CN"/>
              </w:rPr>
              <w:t>，</w:t>
            </w:r>
            <w:r>
              <w:rPr>
                <w:szCs w:val="21"/>
              </w:rPr>
              <w:t>2</w:t>
            </w:r>
            <w:r>
              <w:rPr>
                <w:rFonts w:hint="eastAsia"/>
                <w:szCs w:val="21"/>
                <w:lang w:eastAsia="zh-CN"/>
              </w:rPr>
              <w:t>，</w:t>
            </w:r>
            <w:r>
              <w:rPr>
                <w:szCs w:val="21"/>
              </w:rPr>
              <w:t>3cd]芘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01</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45</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茚并[1</w:t>
            </w:r>
            <w:r>
              <w:rPr>
                <w:rFonts w:hint="eastAsia"/>
                <w:szCs w:val="21"/>
                <w:lang w:eastAsia="zh-CN"/>
              </w:rPr>
              <w:t>，</w:t>
            </w:r>
            <w:r>
              <w:rPr>
                <w:szCs w:val="21"/>
              </w:rPr>
              <w:t>2</w:t>
            </w:r>
            <w:r>
              <w:rPr>
                <w:rFonts w:hint="eastAsia"/>
                <w:szCs w:val="21"/>
                <w:lang w:eastAsia="zh-CN"/>
              </w:rPr>
              <w:t>，</w:t>
            </w:r>
            <w:r>
              <w:rPr>
                <w:szCs w:val="21"/>
              </w:rPr>
              <w:t>3cd]芘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23</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35</w:t>
            </w:r>
            <w:r>
              <w:rPr>
                <w:rFonts w:hint="eastAsia"/>
                <w:szCs w:val="21"/>
                <w:lang w:eastAsia="zh-CN"/>
              </w:rPr>
              <w:t>.</w:t>
            </w:r>
            <w:r>
              <w:rPr>
                <w:szCs w:val="21"/>
              </w:rPr>
              <w:t>6</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6</w:t>
            </w:r>
            <w:r>
              <w:rPr>
                <w:rFonts w:hint="eastAsia"/>
                <w:szCs w:val="21"/>
                <w:lang w:eastAsia="zh-CN"/>
              </w:rPr>
              <w:t>.</w:t>
            </w:r>
            <w:r>
              <w:rPr>
                <w:szCs w:val="21"/>
              </w:rPr>
              <w:t>80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21</w:t>
            </w:r>
            <w:r>
              <w:rPr>
                <w:rFonts w:hint="eastAsia"/>
                <w:szCs w:val="21"/>
                <w:lang w:eastAsia="zh-CN"/>
              </w:rPr>
              <w:t>.</w:t>
            </w:r>
            <w:r>
              <w:rPr>
                <w:szCs w:val="21"/>
              </w:rPr>
              <w:t>34</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茚并[1</w:t>
            </w:r>
            <w:r>
              <w:rPr>
                <w:rFonts w:hint="eastAsia"/>
                <w:szCs w:val="21"/>
                <w:lang w:eastAsia="zh-CN"/>
              </w:rPr>
              <w:t>，</w:t>
            </w:r>
            <w:r>
              <w:rPr>
                <w:szCs w:val="21"/>
              </w:rPr>
              <w:t>2</w:t>
            </w:r>
            <w:r>
              <w:rPr>
                <w:rFonts w:hint="eastAsia"/>
                <w:szCs w:val="21"/>
                <w:lang w:eastAsia="zh-CN"/>
              </w:rPr>
              <w:t>，</w:t>
            </w:r>
            <w:r>
              <w:rPr>
                <w:szCs w:val="21"/>
              </w:rPr>
              <w:t>3cd]芘</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23</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6</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44</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7</w:t>
            </w:r>
            <w:r>
              <w:rPr>
                <w:rFonts w:hint="eastAsia"/>
                <w:szCs w:val="21"/>
                <w:lang w:eastAsia="zh-CN"/>
              </w:rPr>
              <w:t>.</w:t>
            </w:r>
            <w:r>
              <w:rPr>
                <w:szCs w:val="21"/>
              </w:rPr>
              <w:t>83</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二苯并[a</w:t>
            </w:r>
            <w:r>
              <w:rPr>
                <w:rFonts w:hint="eastAsia"/>
                <w:szCs w:val="21"/>
                <w:lang w:eastAsia="zh-CN"/>
              </w:rPr>
              <w:t>，</w:t>
            </w:r>
            <w:r>
              <w:rPr>
                <w:szCs w:val="21"/>
              </w:rPr>
              <w:t>h]蒽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2</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09</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19</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二苯并[a</w:t>
            </w:r>
            <w:r>
              <w:rPr>
                <w:rFonts w:hint="eastAsia"/>
                <w:szCs w:val="21"/>
                <w:lang w:eastAsia="zh-CN"/>
              </w:rPr>
              <w:t>，</w:t>
            </w:r>
            <w:r>
              <w:rPr>
                <w:szCs w:val="21"/>
              </w:rPr>
              <w:t>h]蒽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3</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12</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59</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二苯并[a</w:t>
            </w:r>
            <w:r>
              <w:rPr>
                <w:rFonts w:hint="eastAsia"/>
                <w:szCs w:val="21"/>
                <w:lang w:eastAsia="zh-CN"/>
              </w:rPr>
              <w:t>，</w:t>
            </w:r>
            <w:r>
              <w:rPr>
                <w:szCs w:val="21"/>
              </w:rPr>
              <w:t>h]蒽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23</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9</w:t>
            </w:r>
            <w:r>
              <w:rPr>
                <w:rFonts w:hint="eastAsia"/>
                <w:szCs w:val="21"/>
                <w:lang w:eastAsia="zh-CN"/>
              </w:rPr>
              <w:t>.</w:t>
            </w:r>
            <w:r>
              <w:rPr>
                <w:szCs w:val="21"/>
              </w:rPr>
              <w:t>9</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2</w:t>
            </w:r>
            <w:r>
              <w:rPr>
                <w:rFonts w:hint="eastAsia"/>
                <w:szCs w:val="21"/>
                <w:lang w:eastAsia="zh-CN"/>
              </w:rPr>
              <w:t>.</w:t>
            </w:r>
            <w:r>
              <w:rPr>
                <w:szCs w:val="21"/>
              </w:rPr>
              <w:t>07</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5</w:t>
            </w:r>
            <w:r>
              <w:rPr>
                <w:rFonts w:hint="eastAsia"/>
                <w:szCs w:val="21"/>
                <w:lang w:eastAsia="zh-CN"/>
              </w:rPr>
              <w:t>.</w:t>
            </w:r>
            <w:r>
              <w:rPr>
                <w:szCs w:val="21"/>
              </w:rPr>
              <w:t>85</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二苯并[a</w:t>
            </w:r>
            <w:r>
              <w:rPr>
                <w:rFonts w:hint="eastAsia"/>
                <w:szCs w:val="21"/>
                <w:lang w:eastAsia="zh-CN"/>
              </w:rPr>
              <w:t>，</w:t>
            </w:r>
            <w:r>
              <w:rPr>
                <w:szCs w:val="21"/>
              </w:rPr>
              <w:t>h]蒽</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3</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24</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83</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苯并[ghi]苝</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20</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苯并[ghi]苝</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1</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00</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17</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苯并[ghi]苝</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24</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39</w:t>
            </w:r>
            <w:r>
              <w:rPr>
                <w:rFonts w:hint="eastAsia"/>
                <w:szCs w:val="21"/>
                <w:lang w:eastAsia="zh-CN"/>
              </w:rPr>
              <w:t>.</w:t>
            </w:r>
            <w:r>
              <w:rPr>
                <w:szCs w:val="21"/>
              </w:rPr>
              <w:t>7</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9</w:t>
            </w:r>
            <w:r>
              <w:rPr>
                <w:rFonts w:hint="eastAsia"/>
                <w:szCs w:val="21"/>
                <w:lang w:eastAsia="zh-CN"/>
              </w:rPr>
              <w:t>.</w:t>
            </w:r>
            <w:r>
              <w:rPr>
                <w:szCs w:val="21"/>
              </w:rPr>
              <w:t>24</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18</w:t>
            </w:r>
            <w:r>
              <w:rPr>
                <w:rFonts w:hint="eastAsia"/>
                <w:szCs w:val="21"/>
                <w:lang w:eastAsia="zh-CN"/>
              </w:rPr>
              <w:t>.</w:t>
            </w:r>
            <w:r>
              <w:rPr>
                <w:szCs w:val="21"/>
              </w:rPr>
              <w:t>51</w:t>
            </w:r>
          </w:p>
        </w:tc>
      </w:tr>
      <w:tr>
        <w:tblPrEx>
          <w:tblLayout w:type="fixed"/>
          <w:tblCellMar>
            <w:top w:w="0" w:type="dxa"/>
            <w:left w:w="57" w:type="dxa"/>
            <w:bottom w:w="0" w:type="dxa"/>
            <w:right w:w="57" w:type="dxa"/>
          </w:tblCellMar>
        </w:tblPrEx>
        <w:tc>
          <w:tcPr>
            <w:tcW w:w="2373" w:type="dxa"/>
            <w:tcBorders>
              <w:top w:val="single" w:color="auto" w:sz="4" w:space="0"/>
              <w:left w:val="single" w:color="auto" w:sz="4" w:space="0"/>
            </w:tcBorders>
            <w:shd w:val="clear" w:color="auto" w:fill="FFFFFF"/>
            <w:vAlign w:val="center"/>
          </w:tcPr>
          <w:p>
            <w:pPr>
              <w:jc w:val="center"/>
              <w:rPr>
                <w:szCs w:val="21"/>
              </w:rPr>
            </w:pPr>
            <w:r>
              <w:rPr>
                <w:szCs w:val="21"/>
              </w:rPr>
              <w:t>苯并[ghi]苝</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27</w:t>
            </w:r>
          </w:p>
        </w:tc>
        <w:tc>
          <w:tcPr>
            <w:tcW w:w="1774" w:type="dxa"/>
            <w:tcBorders>
              <w:top w:val="single" w:color="auto" w:sz="4" w:space="0"/>
              <w:left w:val="single" w:color="auto" w:sz="4" w:space="0"/>
            </w:tcBorders>
            <w:shd w:val="clear" w:color="auto" w:fill="FFFFFF"/>
            <w:vAlign w:val="center"/>
          </w:tcPr>
          <w:p>
            <w:pPr>
              <w:jc w:val="center"/>
              <w:rPr>
                <w:szCs w:val="21"/>
              </w:rPr>
            </w:pPr>
            <w:r>
              <w:rPr>
                <w:szCs w:val="21"/>
              </w:rPr>
              <w:t>7</w:t>
            </w:r>
            <w:r>
              <w:rPr>
                <w:rFonts w:hint="eastAsia"/>
                <w:szCs w:val="21"/>
                <w:lang w:eastAsia="zh-CN"/>
              </w:rPr>
              <w:t>.</w:t>
            </w:r>
            <w:r>
              <w:rPr>
                <w:szCs w:val="21"/>
              </w:rPr>
              <w:t>3</w:t>
            </w:r>
          </w:p>
        </w:tc>
        <w:tc>
          <w:tcPr>
            <w:tcW w:w="1768"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eastAsia="zh-CN"/>
              </w:rPr>
              <w:t>.</w:t>
            </w:r>
            <w:r>
              <w:rPr>
                <w:szCs w:val="21"/>
              </w:rPr>
              <w:t>88</w:t>
            </w:r>
          </w:p>
        </w:tc>
        <w:tc>
          <w:tcPr>
            <w:tcW w:w="1779"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7</w:t>
            </w:r>
            <w:r>
              <w:rPr>
                <w:rFonts w:hint="eastAsia"/>
                <w:szCs w:val="21"/>
                <w:lang w:eastAsia="zh-CN"/>
              </w:rPr>
              <w:t>.</w:t>
            </w:r>
            <w:r>
              <w:rPr>
                <w:szCs w:val="21"/>
              </w:rPr>
              <w:t>66</w:t>
            </w:r>
          </w:p>
        </w:tc>
      </w:tr>
      <w:tr>
        <w:tblPrEx>
          <w:tblLayout w:type="fixed"/>
          <w:tblCellMar>
            <w:top w:w="0" w:type="dxa"/>
            <w:left w:w="57" w:type="dxa"/>
            <w:bottom w:w="0" w:type="dxa"/>
            <w:right w:w="57" w:type="dxa"/>
          </w:tblCellMar>
        </w:tblPrEx>
        <w:tc>
          <w:tcPr>
            <w:tcW w:w="9468"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rPr>
                <w:szCs w:val="21"/>
              </w:rPr>
            </w:pPr>
            <w:r>
              <w:rPr>
                <w:szCs w:val="21"/>
              </w:rPr>
              <w:t>符号说明</w:t>
            </w:r>
          </w:p>
          <w:p>
            <w:pPr>
              <w:rPr>
                <w:szCs w:val="21"/>
              </w:rPr>
            </w:pPr>
            <w:r>
              <w:rPr>
                <w:szCs w:val="21"/>
              </w:rPr>
              <w:t>N：计算所用的检测结果数量</w:t>
            </w:r>
          </w:p>
          <w:p>
            <w:pPr>
              <w:rPr>
                <w:szCs w:val="21"/>
              </w:rPr>
            </w:pPr>
            <w:r>
              <w:rPr>
                <w:szCs w:val="21"/>
              </w:rPr>
              <w:t>m：平均值（单位：mg/kg）</w:t>
            </w:r>
          </w:p>
          <w:p>
            <w:pPr>
              <w:rPr>
                <w:rFonts w:hint="eastAsia" w:eastAsia="宋体"/>
                <w:szCs w:val="21"/>
                <w:lang w:val="en-US" w:eastAsia="zh-CN"/>
              </w:rPr>
            </w:pPr>
            <w:r>
              <w:rPr>
                <w:szCs w:val="21"/>
              </w:rPr>
              <w:t>r：重复性</w:t>
            </w:r>
            <w:r>
              <w:rPr>
                <w:rFonts w:hint="eastAsia"/>
                <w:szCs w:val="21"/>
                <w:lang w:val="en-US" w:eastAsia="zh-CN"/>
              </w:rPr>
              <w:t>限</w:t>
            </w:r>
          </w:p>
          <w:p>
            <w:pPr>
              <w:rPr>
                <w:rFonts w:hint="eastAsia" w:eastAsia="宋体"/>
                <w:szCs w:val="21"/>
                <w:lang w:val="en-US" w:eastAsia="zh-CN"/>
              </w:rPr>
            </w:pPr>
            <w:r>
              <w:rPr>
                <w:szCs w:val="21"/>
              </w:rPr>
              <w:t>R：再现性</w:t>
            </w:r>
            <w:r>
              <w:rPr>
                <w:rFonts w:hint="eastAsia"/>
                <w:szCs w:val="21"/>
                <w:lang w:val="en-US" w:eastAsia="zh-CN"/>
              </w:rPr>
              <w:t>限</w:t>
            </w:r>
          </w:p>
        </w:tc>
      </w:tr>
    </w:tbl>
    <w:p>
      <w:pPr>
        <w:ind w:firstLine="420" w:firstLineChars="200"/>
        <w:rPr>
          <w:szCs w:val="21"/>
        </w:rPr>
      </w:pPr>
    </w:p>
    <w:p>
      <w:pPr>
        <w:ind w:firstLine="420" w:firstLineChars="200"/>
        <w:rPr>
          <w:szCs w:val="21"/>
        </w:rPr>
      </w:pPr>
      <w:r>
        <w:rPr>
          <w:szCs w:val="21"/>
        </w:rPr>
        <w:t>有关支持数据，请参见附录B（表B.1）。</w:t>
      </w:r>
    </w:p>
    <w:p>
      <w:pPr>
        <w:widowControl/>
        <w:spacing w:before="312" w:beforeLines="100" w:after="312" w:afterLines="100"/>
        <w:outlineLvl w:val="0"/>
        <w:rPr>
          <w:rFonts w:ascii="黑体" w:hAnsi="黑体" w:eastAsia="黑体"/>
          <w:kern w:val="0"/>
          <w:szCs w:val="20"/>
        </w:rPr>
      </w:pPr>
      <w:bookmarkStart w:id="36" w:name="_Toc24981"/>
      <w:bookmarkStart w:id="37" w:name="_Toc3829"/>
      <w:r>
        <w:rPr>
          <w:rFonts w:ascii="黑体" w:hAnsi="黑体" w:eastAsia="黑体"/>
          <w:kern w:val="0"/>
          <w:szCs w:val="20"/>
        </w:rPr>
        <w:t>11 质量保证与控制</w:t>
      </w:r>
      <w:bookmarkEnd w:id="36"/>
      <w:bookmarkEnd w:id="37"/>
    </w:p>
    <w:p>
      <w:pPr>
        <w:pStyle w:val="47"/>
      </w:pPr>
      <w:r>
        <w:t>11.1 性能</w:t>
      </w:r>
    </w:p>
    <w:p>
      <w:pPr>
        <w:ind w:firstLine="420" w:firstLineChars="200"/>
        <w:rPr>
          <w:szCs w:val="21"/>
        </w:rPr>
      </w:pPr>
      <w:r>
        <w:rPr>
          <w:szCs w:val="21"/>
        </w:rPr>
        <w:t>按以下步骤进行质量控制：</w:t>
      </w:r>
    </w:p>
    <w:p>
      <w:pPr>
        <w:ind w:firstLine="420" w:firstLineChars="200"/>
        <w:rPr>
          <w:rFonts w:hint="eastAsia" w:eastAsia="宋体"/>
          <w:szCs w:val="21"/>
          <w:lang w:val="en-US" w:eastAsia="zh-CN"/>
        </w:rPr>
      </w:pPr>
      <w:r>
        <w:rPr>
          <w:szCs w:val="21"/>
        </w:rPr>
        <w:t>每个样品序列都应提取一份试剂空白样品。</w:t>
      </w:r>
      <w:r>
        <w:rPr>
          <w:szCs w:val="21"/>
          <w:shd w:val="clear"/>
        </w:rPr>
        <w:t>试剂空白样品为</w:t>
      </w:r>
      <w:r>
        <w:rPr>
          <w:rFonts w:hint="eastAsia"/>
          <w:szCs w:val="21"/>
          <w:shd w:val="clear"/>
          <w:lang w:val="en-US" w:eastAsia="zh-CN"/>
        </w:rPr>
        <w:t>依</w:t>
      </w:r>
      <w:r>
        <w:rPr>
          <w:szCs w:val="21"/>
          <w:shd w:val="clear"/>
        </w:rPr>
        <w:t>据8.2.1或8.2.2</w:t>
      </w:r>
      <w:r>
        <w:rPr>
          <w:rFonts w:hint="eastAsia"/>
          <w:szCs w:val="21"/>
          <w:shd w:val="clear"/>
          <w:lang w:val="en-US" w:eastAsia="zh-CN"/>
        </w:rPr>
        <w:t>的</w:t>
      </w:r>
      <w:r>
        <w:rPr>
          <w:szCs w:val="21"/>
          <w:shd w:val="clear"/>
        </w:rPr>
        <w:t>整个提取过程</w:t>
      </w:r>
      <w:r>
        <w:rPr>
          <w:rFonts w:hint="eastAsia"/>
          <w:szCs w:val="21"/>
          <w:shd w:val="clear"/>
          <w:lang w:val="en-US" w:eastAsia="zh-CN"/>
        </w:rPr>
        <w:t>提取</w:t>
      </w:r>
      <w:r>
        <w:rPr>
          <w:szCs w:val="21"/>
          <w:shd w:val="clear"/>
        </w:rPr>
        <w:t>的20 m</w:t>
      </w:r>
      <w:r>
        <w:rPr>
          <w:rFonts w:hint="eastAsia"/>
          <w:szCs w:val="21"/>
          <w:shd w:val="clear"/>
          <w:lang w:val="en-US" w:eastAsia="zh-CN"/>
        </w:rPr>
        <w:t>L</w:t>
      </w:r>
      <w:r>
        <w:rPr>
          <w:szCs w:val="21"/>
          <w:shd w:val="clear"/>
        </w:rPr>
        <w:t>（40 m</w:t>
      </w:r>
      <w:r>
        <w:rPr>
          <w:rFonts w:hint="eastAsia"/>
          <w:szCs w:val="21"/>
          <w:shd w:val="clear"/>
          <w:lang w:val="en-US" w:eastAsia="zh-CN"/>
        </w:rPr>
        <w:t>L</w:t>
      </w:r>
      <w:r>
        <w:rPr>
          <w:szCs w:val="21"/>
          <w:shd w:val="clear"/>
        </w:rPr>
        <w:t>琥珀色容器用于超声波提取）或5 m</w:t>
      </w:r>
      <w:r>
        <w:rPr>
          <w:rFonts w:hint="eastAsia"/>
          <w:szCs w:val="21"/>
          <w:shd w:val="clear"/>
          <w:lang w:val="en-US" w:eastAsia="zh-CN"/>
        </w:rPr>
        <w:t>L</w:t>
      </w:r>
      <w:r>
        <w:rPr>
          <w:szCs w:val="21"/>
          <w:shd w:val="clear"/>
        </w:rPr>
        <w:t>（250 ml圆底烧瓶用于索氏提取）</w:t>
      </w:r>
      <w:r>
        <w:rPr>
          <w:rFonts w:hint="eastAsia"/>
          <w:szCs w:val="21"/>
          <w:shd w:val="clear"/>
          <w:lang w:val="en-US" w:eastAsia="zh-CN"/>
        </w:rPr>
        <w:t>纯</w:t>
      </w:r>
      <w:r>
        <w:rPr>
          <w:szCs w:val="21"/>
          <w:shd w:val="clear"/>
        </w:rPr>
        <w:t>溶剂。在</w:t>
      </w:r>
      <w:r>
        <w:rPr>
          <w:rFonts w:hint="eastAsia"/>
          <w:szCs w:val="21"/>
          <w:shd w:val="clear"/>
          <w:lang w:val="en-US" w:eastAsia="zh-CN"/>
        </w:rPr>
        <w:t>试剂</w:t>
      </w:r>
      <w:r>
        <w:rPr>
          <w:szCs w:val="21"/>
          <w:shd w:val="clear"/>
        </w:rPr>
        <w:t>空白样品中</w:t>
      </w:r>
      <w:r>
        <w:rPr>
          <w:rFonts w:hint="eastAsia"/>
          <w:szCs w:val="21"/>
          <w:shd w:val="clear"/>
          <w:lang w:val="en-US" w:eastAsia="zh-CN"/>
        </w:rPr>
        <w:t>发现</w:t>
      </w:r>
      <w:r>
        <w:rPr>
          <w:szCs w:val="21"/>
          <w:shd w:val="clear"/>
        </w:rPr>
        <w:t>的任何</w:t>
      </w:r>
      <w:r>
        <w:rPr>
          <w:rFonts w:hint="eastAsia"/>
          <w:szCs w:val="21"/>
          <w:shd w:val="clear"/>
          <w:lang w:eastAsia="zh-CN"/>
        </w:rPr>
        <w:t>PAHs</w:t>
      </w:r>
      <w:r>
        <w:rPr>
          <w:szCs w:val="21"/>
          <w:shd w:val="clear"/>
        </w:rPr>
        <w:t>化合物浓度应低于每种化合物的方法检出限（参见11.2）。</w:t>
      </w:r>
    </w:p>
    <w:p>
      <w:pPr>
        <w:ind w:left="851" w:leftChars="200" w:hanging="431"/>
        <w:rPr>
          <w:rFonts w:hint="eastAsia" w:eastAsia="宋体"/>
          <w:szCs w:val="21"/>
          <w:shd w:val="clear" w:fill="FFFF00"/>
          <w:lang w:val="en-US" w:eastAsia="zh-CN"/>
        </w:rPr>
      </w:pPr>
      <w:r>
        <w:rPr>
          <w:szCs w:val="21"/>
        </w:rPr>
        <w:t>a）</w:t>
      </w:r>
      <w:r>
        <w:rPr>
          <w:rFonts w:hint="eastAsia"/>
          <w:szCs w:val="21"/>
        </w:rPr>
        <w:tab/>
      </w:r>
      <w:r>
        <w:rPr>
          <w:szCs w:val="21"/>
        </w:rPr>
        <w:t>在每</w:t>
      </w:r>
      <w:r>
        <w:rPr>
          <w:rFonts w:hint="eastAsia"/>
          <w:szCs w:val="21"/>
          <w:lang w:val="en-US" w:eastAsia="zh-CN"/>
        </w:rPr>
        <w:t>10个</w:t>
      </w:r>
      <w:r>
        <w:rPr>
          <w:szCs w:val="21"/>
        </w:rPr>
        <w:t>样品检测后和每组样品</w:t>
      </w:r>
      <w:r>
        <w:rPr>
          <w:rFonts w:hint="eastAsia"/>
          <w:szCs w:val="21"/>
          <w:lang w:val="en-US" w:eastAsia="zh-CN"/>
        </w:rPr>
        <w:t>检测</w:t>
      </w:r>
      <w:r>
        <w:rPr>
          <w:szCs w:val="21"/>
        </w:rPr>
        <w:t>结束时，</w:t>
      </w:r>
      <w:r>
        <w:rPr>
          <w:rFonts w:hint="eastAsia"/>
          <w:szCs w:val="21"/>
          <w:lang w:val="en-US" w:eastAsia="zh-CN"/>
        </w:rPr>
        <w:t>进行</w:t>
      </w:r>
      <w:r>
        <w:rPr>
          <w:szCs w:val="21"/>
        </w:rPr>
        <w:t>一次校准</w:t>
      </w:r>
      <w:r>
        <w:rPr>
          <w:rFonts w:hint="eastAsia"/>
          <w:szCs w:val="21"/>
          <w:lang w:val="en-US" w:eastAsia="zh-CN"/>
        </w:rPr>
        <w:t>曲线核查</w:t>
      </w:r>
      <w:r>
        <w:rPr>
          <w:szCs w:val="21"/>
        </w:rPr>
        <w:t>（CCC）。CCC是一种未</w:t>
      </w:r>
      <w:r>
        <w:rPr>
          <w:rFonts w:hint="eastAsia"/>
          <w:szCs w:val="21"/>
          <w:lang w:val="en-US" w:eastAsia="zh-CN"/>
        </w:rPr>
        <w:t>经</w:t>
      </w:r>
      <w:r>
        <w:rPr>
          <w:szCs w:val="21"/>
        </w:rPr>
        <w:t>提取的中</w:t>
      </w:r>
      <w:r>
        <w:rPr>
          <w:rFonts w:hint="eastAsia"/>
          <w:szCs w:val="21"/>
          <w:lang w:val="en-US" w:eastAsia="zh-CN"/>
        </w:rPr>
        <w:t>浓度</w:t>
      </w:r>
      <w:r>
        <w:rPr>
          <w:szCs w:val="21"/>
        </w:rPr>
        <w:t>校准</w:t>
      </w:r>
      <w:r>
        <w:rPr>
          <w:rFonts w:hint="eastAsia"/>
          <w:szCs w:val="21"/>
          <w:lang w:val="en-US" w:eastAsia="zh-CN"/>
        </w:rPr>
        <w:t>溶液</w:t>
      </w:r>
      <w:r>
        <w:rPr>
          <w:szCs w:val="21"/>
        </w:rPr>
        <w:t>，用作样品分析。每种同系物的回收率范围应在</w:t>
      </w:r>
      <w:r>
        <w:rPr>
          <w:rFonts w:hint="eastAsia"/>
          <w:szCs w:val="21"/>
        </w:rPr>
        <w:t>70 %</w:t>
      </w:r>
      <w:r>
        <w:rPr>
          <w:szCs w:val="21"/>
        </w:rPr>
        <w:t>至</w:t>
      </w:r>
      <w:r>
        <w:rPr>
          <w:rFonts w:hint="eastAsia"/>
          <w:szCs w:val="21"/>
          <w:lang w:val="en-US" w:eastAsia="zh-CN"/>
        </w:rPr>
        <w:t>130</w:t>
      </w:r>
      <w:r>
        <w:rPr>
          <w:rFonts w:hint="eastAsia"/>
          <w:szCs w:val="21"/>
        </w:rPr>
        <w:t xml:space="preserve"> %</w:t>
      </w:r>
      <w:r>
        <w:rPr>
          <w:szCs w:val="21"/>
        </w:rPr>
        <w:t>之间。如果任何同系物的回收率超出此范围，则应在12</w:t>
      </w:r>
      <w:r>
        <w:rPr>
          <w:rFonts w:hint="eastAsia"/>
          <w:szCs w:val="21"/>
          <w:lang w:val="en-US" w:eastAsia="zh-CN"/>
        </w:rPr>
        <w:t>h</w:t>
      </w:r>
      <w:r>
        <w:rPr>
          <w:szCs w:val="21"/>
        </w:rPr>
        <w:t>内重新</w:t>
      </w:r>
      <w:r>
        <w:rPr>
          <w:rFonts w:hint="eastAsia"/>
          <w:szCs w:val="21"/>
          <w:lang w:val="en-US" w:eastAsia="zh-CN"/>
        </w:rPr>
        <w:t>进样</w:t>
      </w:r>
      <w:r>
        <w:rPr>
          <w:szCs w:val="21"/>
        </w:rPr>
        <w:t>。如果重新</w:t>
      </w:r>
      <w:r>
        <w:rPr>
          <w:rFonts w:hint="eastAsia"/>
          <w:szCs w:val="21"/>
          <w:lang w:val="en-US" w:eastAsia="zh-CN"/>
        </w:rPr>
        <w:t>进样</w:t>
      </w:r>
      <w:r>
        <w:rPr>
          <w:szCs w:val="21"/>
        </w:rPr>
        <w:t>后，回收率仍超出范围，则停止分析，</w:t>
      </w:r>
      <w:r>
        <w:rPr>
          <w:rFonts w:hint="eastAsia"/>
          <w:szCs w:val="21"/>
          <w:lang w:val="en-US" w:eastAsia="zh-CN"/>
        </w:rPr>
        <w:t>进行</w:t>
      </w:r>
      <w:r>
        <w:rPr>
          <w:szCs w:val="21"/>
        </w:rPr>
        <w:t>系统维护并使其恢复到最佳工作状态。</w:t>
      </w:r>
      <w:r>
        <w:rPr>
          <w:rFonts w:hint="eastAsia"/>
          <w:szCs w:val="21"/>
          <w:shd w:val="clear"/>
        </w:rPr>
        <w:t xml:space="preserve">若 CCC </w:t>
      </w:r>
      <w:r>
        <w:rPr>
          <w:rFonts w:hint="eastAsia"/>
          <w:szCs w:val="21"/>
          <w:shd w:val="clear"/>
          <w:lang w:val="en-US" w:eastAsia="zh-CN"/>
        </w:rPr>
        <w:t>校准核查</w:t>
      </w:r>
      <w:r>
        <w:rPr>
          <w:rFonts w:hint="eastAsia"/>
          <w:szCs w:val="21"/>
          <w:shd w:val="clear"/>
        </w:rPr>
        <w:t>结果符合要求</w:t>
      </w:r>
      <w:r>
        <w:rPr>
          <w:rFonts w:hint="eastAsia"/>
          <w:szCs w:val="21"/>
          <w:shd w:val="clear"/>
          <w:lang w:eastAsia="zh-CN"/>
        </w:rPr>
        <w:t>，</w:t>
      </w:r>
      <w:r>
        <w:rPr>
          <w:rFonts w:hint="eastAsia"/>
          <w:szCs w:val="21"/>
          <w:shd w:val="clear"/>
        </w:rPr>
        <w:t xml:space="preserve"> 在此之前分析的样品可以出具报告</w:t>
      </w:r>
      <w:r>
        <w:rPr>
          <w:rFonts w:hint="eastAsia"/>
          <w:szCs w:val="21"/>
          <w:shd w:val="clear"/>
          <w:lang w:val="en-US" w:eastAsia="zh-CN"/>
        </w:rPr>
        <w:t>;</w:t>
      </w:r>
      <w:r>
        <w:rPr>
          <w:rFonts w:hint="eastAsia"/>
          <w:szCs w:val="21"/>
          <w:shd w:val="clear"/>
        </w:rPr>
        <w:t xml:space="preserve"> 若 CCC 结果不符合要求</w:t>
      </w:r>
      <w:r>
        <w:rPr>
          <w:rFonts w:hint="eastAsia"/>
          <w:szCs w:val="21"/>
          <w:shd w:val="clear"/>
          <w:lang w:eastAsia="zh-CN"/>
        </w:rPr>
        <w:t>，</w:t>
      </w:r>
      <w:r>
        <w:rPr>
          <w:rFonts w:hint="eastAsia"/>
          <w:szCs w:val="21"/>
          <w:shd w:val="clear"/>
        </w:rPr>
        <w:t xml:space="preserve"> 在此之前分析的样品应按重新制作的校准曲线进行分析</w:t>
      </w:r>
      <w:r>
        <w:rPr>
          <w:rFonts w:hint="eastAsia"/>
          <w:szCs w:val="21"/>
          <w:shd w:val="clear"/>
          <w:lang w:eastAsia="zh-CN"/>
        </w:rPr>
        <w:t>。</w:t>
      </w:r>
    </w:p>
    <w:p>
      <w:pPr>
        <w:ind w:left="851" w:leftChars="200" w:hanging="431"/>
        <w:rPr>
          <w:szCs w:val="21"/>
        </w:rPr>
      </w:pPr>
      <w:r>
        <w:rPr>
          <w:szCs w:val="21"/>
        </w:rPr>
        <w:t>b）</w:t>
      </w:r>
      <w:r>
        <w:rPr>
          <w:rFonts w:hint="eastAsia"/>
          <w:szCs w:val="21"/>
        </w:rPr>
        <w:tab/>
      </w:r>
      <w:r>
        <w:rPr>
          <w:szCs w:val="21"/>
        </w:rPr>
        <w:t>监测每个样品的</w:t>
      </w:r>
      <w:r>
        <w:rPr>
          <w:rFonts w:hint="eastAsia"/>
          <w:szCs w:val="21"/>
          <w:lang w:eastAsia="zh-CN"/>
        </w:rPr>
        <w:t>标记物</w:t>
      </w:r>
      <w:r>
        <w:rPr>
          <w:szCs w:val="21"/>
        </w:rPr>
        <w:t>回收情况。</w:t>
      </w:r>
      <w:r>
        <w:rPr>
          <w:rFonts w:hint="eastAsia"/>
          <w:szCs w:val="21"/>
          <w:lang w:eastAsia="zh-CN"/>
        </w:rPr>
        <w:t>标记物</w:t>
      </w:r>
      <w:r>
        <w:rPr>
          <w:szCs w:val="21"/>
        </w:rPr>
        <w:t>回收率（%）按以下公式计算：</w:t>
      </w:r>
    </w:p>
    <w:p>
      <w:pPr>
        <w:tabs>
          <w:tab w:val="left" w:pos="4820"/>
        </w:tabs>
        <w:adjustRightInd w:val="0"/>
        <w:snapToGrid w:val="0"/>
        <w:spacing w:before="156" w:beforeLines="50" w:after="156" w:afterLines="50"/>
        <w:jc w:val="right"/>
        <w:rPr>
          <w:rFonts w:eastAsia="黑体"/>
          <w:szCs w:val="21"/>
        </w:rPr>
      </w:pPr>
      <m:oMath>
        <w:bookmarkStart w:id="38" w:name="bookmark29"/>
        <m:r>
          <w:rPr>
            <w:rFonts w:ascii="Cambria Math" w:hAnsi="Cambria Math" w:eastAsia="黑体"/>
            <w:szCs w:val="21"/>
          </w:rPr>
          <m:t>SR=</m:t>
        </m:r>
        <m:f>
          <m:fPr>
            <m:ctrlPr>
              <w:rPr>
                <w:rFonts w:ascii="Cambria Math" w:hAnsi="Cambria Math" w:eastAsia="黑体"/>
                <w:i/>
                <w:iCs/>
                <w:szCs w:val="21"/>
              </w:rPr>
            </m:ctrlPr>
          </m:fPr>
          <m:num>
            <m:r>
              <w:rPr>
                <w:rFonts w:ascii="Cambria Math" w:hAnsi="Cambria Math" w:eastAsia="黑体"/>
                <w:szCs w:val="21"/>
              </w:rPr>
              <m:t>ms</m:t>
            </m:r>
            <m:ctrlPr>
              <w:rPr>
                <w:rFonts w:ascii="Cambria Math" w:hAnsi="Cambria Math" w:eastAsia="黑体"/>
                <w:i/>
                <w:iCs/>
                <w:szCs w:val="21"/>
              </w:rPr>
            </m:ctrlPr>
          </m:num>
          <m:den>
            <m:r>
              <w:rPr>
                <w:rFonts w:ascii="Cambria Math" w:hAnsi="Cambria Math" w:eastAsia="黑体"/>
                <w:szCs w:val="21"/>
              </w:rPr>
              <m:t>ss</m:t>
            </m:r>
            <m:ctrlPr>
              <w:rPr>
                <w:rFonts w:ascii="Cambria Math" w:hAnsi="Cambria Math" w:eastAsia="黑体"/>
                <w:i/>
                <w:iCs/>
                <w:szCs w:val="21"/>
              </w:rPr>
            </m:ctrlPr>
          </m:den>
        </m:f>
        <m:r>
          <w:rPr>
            <w:rFonts w:ascii="Cambria Math" w:hAnsi="Cambria Math" w:eastAsia="黑体"/>
            <w:szCs w:val="21"/>
          </w:rPr>
          <m:t>×100</m:t>
        </m:r>
      </m:oMath>
      <w:r>
        <w:rPr>
          <w:rFonts w:eastAsia="黑体"/>
          <w:szCs w:val="21"/>
        </w:rPr>
        <w:tab/>
      </w:r>
      <w:bookmarkEnd w:id="38"/>
      <w:r>
        <w:rPr>
          <w:rFonts w:eastAsia="黑体"/>
          <w:szCs w:val="21"/>
        </w:rPr>
        <w:t>（3）</w:t>
      </w:r>
    </w:p>
    <w:p>
      <w:pPr>
        <w:ind w:firstLine="420" w:firstLineChars="200"/>
        <w:rPr>
          <w:szCs w:val="21"/>
        </w:rPr>
      </w:pPr>
      <w:r>
        <w:rPr>
          <w:szCs w:val="21"/>
        </w:rPr>
        <w:t>式中</w:t>
      </w:r>
    </w:p>
    <w:p>
      <w:pPr>
        <w:ind w:firstLine="420" w:firstLineChars="200"/>
        <w:rPr>
          <w:szCs w:val="21"/>
        </w:rPr>
      </w:pPr>
      <w:r>
        <w:rPr>
          <w:i/>
          <w:iCs/>
          <w:szCs w:val="21"/>
        </w:rPr>
        <w:t>SR</w:t>
      </w:r>
      <w:r>
        <w:rPr>
          <w:szCs w:val="21"/>
        </w:rPr>
        <w:t xml:space="preserve"> </w:t>
      </w:r>
      <w:r>
        <w:rPr>
          <w:rStyle w:val="207"/>
          <w:rFonts w:ascii="Times New Roman" w:hAnsi="Times New Roman" w:cs="Times New Roman" w:eastAsiaTheme="minorEastAsia"/>
          <w:color w:val="000000"/>
          <w:sz w:val="18"/>
          <w:szCs w:val="18"/>
        </w:rPr>
        <w:t>——</w:t>
      </w:r>
      <w:r>
        <w:rPr>
          <w:rFonts w:hint="eastAsia" w:eastAsiaTheme="minorEastAsia"/>
          <w:szCs w:val="21"/>
          <w:lang w:eastAsia="zh-CN"/>
        </w:rPr>
        <w:t>标记物</w:t>
      </w:r>
      <w:r>
        <w:rPr>
          <w:szCs w:val="21"/>
        </w:rPr>
        <w:t>回收率，以百分比（%）表示；</w:t>
      </w:r>
    </w:p>
    <w:p>
      <w:pPr>
        <w:ind w:firstLine="420" w:firstLineChars="200"/>
        <w:rPr>
          <w:szCs w:val="21"/>
        </w:rPr>
      </w:pPr>
      <w:r>
        <w:rPr>
          <w:i/>
          <w:iCs/>
          <w:szCs w:val="21"/>
        </w:rPr>
        <w:t>m</w:t>
      </w:r>
      <w:r>
        <w:rPr>
          <w:i/>
          <w:iCs/>
          <w:szCs w:val="21"/>
          <w:vertAlign w:val="baseline"/>
        </w:rPr>
        <w:t>s</w:t>
      </w:r>
      <w:r>
        <w:rPr>
          <w:szCs w:val="21"/>
        </w:rPr>
        <w:t xml:space="preserve"> </w:t>
      </w:r>
      <w:r>
        <w:rPr>
          <w:rStyle w:val="207"/>
          <w:rFonts w:ascii="Times New Roman" w:hAnsi="Times New Roman" w:cs="Times New Roman" w:eastAsiaTheme="minorEastAsia"/>
          <w:color w:val="000000"/>
          <w:sz w:val="18"/>
          <w:szCs w:val="18"/>
        </w:rPr>
        <w:t>——</w:t>
      </w:r>
      <w:r>
        <w:rPr>
          <w:szCs w:val="21"/>
        </w:rPr>
        <w:t>在最终样品溶液中测得的</w:t>
      </w:r>
      <w:r>
        <w:rPr>
          <w:rFonts w:hint="eastAsia"/>
          <w:szCs w:val="21"/>
          <w:lang w:eastAsia="zh-CN"/>
        </w:rPr>
        <w:t>标记物</w:t>
      </w:r>
      <w:r>
        <w:rPr>
          <w:szCs w:val="21"/>
        </w:rPr>
        <w:t>总质量</w:t>
      </w:r>
      <w:r>
        <w:rPr>
          <w:rFonts w:hint="eastAsia"/>
          <w:szCs w:val="21"/>
          <w:lang w:val="en-US" w:eastAsia="zh-CN"/>
        </w:rPr>
        <w:t>，单位为微克</w:t>
      </w:r>
      <w:r>
        <w:rPr>
          <w:szCs w:val="21"/>
        </w:rPr>
        <w:t>（μg）；</w:t>
      </w:r>
    </w:p>
    <w:p>
      <w:pPr>
        <w:ind w:firstLine="420" w:firstLineChars="200"/>
        <w:rPr>
          <w:szCs w:val="21"/>
        </w:rPr>
      </w:pPr>
      <w:r>
        <w:rPr>
          <w:i/>
          <w:iCs/>
          <w:szCs w:val="21"/>
        </w:rPr>
        <w:t>ss</w:t>
      </w:r>
      <w:r>
        <w:rPr>
          <w:szCs w:val="21"/>
        </w:rPr>
        <w:t xml:space="preserve"> </w:t>
      </w:r>
      <w:r>
        <w:rPr>
          <w:rStyle w:val="207"/>
          <w:rFonts w:ascii="Times New Roman" w:hAnsi="Times New Roman" w:cs="Times New Roman" w:eastAsiaTheme="minorEastAsia"/>
          <w:color w:val="000000"/>
          <w:sz w:val="18"/>
          <w:szCs w:val="18"/>
        </w:rPr>
        <w:t>——</w:t>
      </w:r>
      <w:r>
        <w:rPr>
          <w:szCs w:val="21"/>
        </w:rPr>
        <w:t>样品中</w:t>
      </w:r>
      <w:r>
        <w:rPr>
          <w:rFonts w:hint="eastAsia"/>
          <w:szCs w:val="21"/>
          <w:lang w:eastAsia="zh-CN"/>
        </w:rPr>
        <w:t>标记物</w:t>
      </w:r>
      <w:r>
        <w:rPr>
          <w:szCs w:val="21"/>
        </w:rPr>
        <w:t>的总质量</w:t>
      </w:r>
      <w:r>
        <w:rPr>
          <w:rFonts w:hint="eastAsia"/>
          <w:szCs w:val="21"/>
          <w:lang w:val="en-US" w:eastAsia="zh-CN"/>
        </w:rPr>
        <w:t>，单位为微克</w:t>
      </w:r>
      <w:r>
        <w:rPr>
          <w:szCs w:val="21"/>
        </w:rPr>
        <w:t>（μg）。</w:t>
      </w:r>
    </w:p>
    <w:p>
      <w:pPr>
        <w:ind w:firstLine="420" w:firstLineChars="200"/>
        <w:rPr>
          <w:rFonts w:hint="eastAsia" w:eastAsia="宋体"/>
          <w:szCs w:val="21"/>
          <w:lang w:val="en-US" w:eastAsia="zh-CN"/>
        </w:rPr>
      </w:pPr>
      <w:r>
        <w:rPr>
          <w:rFonts w:hint="eastAsia"/>
          <w:szCs w:val="21"/>
          <w:lang w:eastAsia="zh-CN"/>
        </w:rPr>
        <w:t>标记物</w:t>
      </w:r>
      <w:r>
        <w:rPr>
          <w:szCs w:val="21"/>
        </w:rPr>
        <w:t>回收率的可接受范围应在</w:t>
      </w:r>
      <w:r>
        <w:rPr>
          <w:rFonts w:hint="eastAsia"/>
          <w:szCs w:val="21"/>
          <w:lang w:val="en-US" w:eastAsia="zh-CN"/>
        </w:rPr>
        <w:t>70 %</w:t>
      </w:r>
      <w:r>
        <w:rPr>
          <w:szCs w:val="21"/>
        </w:rPr>
        <w:t>和</w:t>
      </w:r>
      <w:r>
        <w:rPr>
          <w:rFonts w:hint="eastAsia"/>
          <w:szCs w:val="21"/>
          <w:lang w:val="en-US" w:eastAsia="zh-CN"/>
        </w:rPr>
        <w:t>130 %</w:t>
      </w:r>
      <w:r>
        <w:rPr>
          <w:szCs w:val="21"/>
        </w:rPr>
        <w:t>之间。如果任何样品的</w:t>
      </w:r>
      <w:r>
        <w:rPr>
          <w:rFonts w:hint="eastAsia"/>
          <w:szCs w:val="21"/>
          <w:lang w:eastAsia="zh-CN"/>
        </w:rPr>
        <w:t>标记物</w:t>
      </w:r>
      <w:r>
        <w:rPr>
          <w:szCs w:val="21"/>
        </w:rPr>
        <w:t>回收率超出了以上限值范围，应重新分析该样品。如果在重新分析后，</w:t>
      </w:r>
      <w:r>
        <w:rPr>
          <w:rFonts w:hint="eastAsia"/>
          <w:szCs w:val="21"/>
          <w:lang w:eastAsia="zh-CN"/>
        </w:rPr>
        <w:t>标记物</w:t>
      </w:r>
      <w:r>
        <w:rPr>
          <w:szCs w:val="21"/>
        </w:rPr>
        <w:t>回收率</w:t>
      </w:r>
      <w:r>
        <w:rPr>
          <w:rFonts w:hint="eastAsia"/>
          <w:szCs w:val="21"/>
          <w:lang w:val="en-US" w:eastAsia="zh-CN"/>
        </w:rPr>
        <w:t>仍超出</w:t>
      </w:r>
      <w:r>
        <w:rPr>
          <w:szCs w:val="21"/>
        </w:rPr>
        <w:t>范围，则应重新提取样品并重新分析。</w:t>
      </w:r>
    </w:p>
    <w:p>
      <w:pPr>
        <w:shd w:val="clear"/>
        <w:ind w:firstLine="420" w:firstLineChars="200"/>
        <w:rPr>
          <w:b w:val="0"/>
          <w:bCs w:val="0"/>
          <w:szCs w:val="21"/>
        </w:rPr>
      </w:pPr>
      <w:r>
        <w:rPr>
          <w:szCs w:val="21"/>
        </w:rPr>
        <w:t>根据校准品的结果（依据表3和表4），计算内标物的平均响应（峰面积）。在分析全程</w:t>
      </w:r>
      <w:r>
        <w:rPr>
          <w:rFonts w:hint="eastAsia"/>
          <w:szCs w:val="21"/>
          <w:lang w:val="en-US" w:eastAsia="zh-CN"/>
        </w:rPr>
        <w:t>中</w:t>
      </w:r>
      <w:r>
        <w:rPr>
          <w:szCs w:val="21"/>
        </w:rPr>
        <w:t>，监测每个样品的内标（IS）响应，并与平均值进行比较。</w:t>
      </w:r>
      <w:r>
        <w:rPr>
          <w:b w:val="0"/>
          <w:bCs w:val="0"/>
          <w:szCs w:val="21"/>
          <w:shd w:val="clear"/>
        </w:rPr>
        <w:t>在分析的时候，如果IS响应波动范围在平均值的</w:t>
      </w:r>
      <w:r>
        <w:rPr>
          <w:rFonts w:hint="eastAsia"/>
          <w:b w:val="0"/>
          <w:bCs w:val="0"/>
          <w:szCs w:val="21"/>
          <w:shd w:val="clear"/>
          <w:lang w:val="en-US" w:eastAsia="zh-CN"/>
        </w:rPr>
        <w:t>5</w:t>
      </w:r>
      <w:r>
        <w:rPr>
          <w:rFonts w:hint="eastAsia"/>
          <w:szCs w:val="21"/>
          <w:lang w:val="en-US" w:eastAsia="zh-CN"/>
        </w:rPr>
        <w:t>0 %</w:t>
      </w:r>
      <w:r>
        <w:rPr>
          <w:b w:val="0"/>
          <w:bCs w:val="0"/>
          <w:szCs w:val="21"/>
          <w:shd w:val="clear"/>
        </w:rPr>
        <w:t>以下或150</w:t>
      </w:r>
      <w:r>
        <w:rPr>
          <w:rFonts w:hint="eastAsia"/>
          <w:b w:val="0"/>
          <w:bCs w:val="0"/>
          <w:szCs w:val="21"/>
          <w:shd w:val="clear"/>
          <w:lang w:val="en-US" w:eastAsia="zh-CN"/>
        </w:rPr>
        <w:t xml:space="preserve"> </w:t>
      </w:r>
      <w:r>
        <w:rPr>
          <w:b w:val="0"/>
          <w:bCs w:val="0"/>
          <w:szCs w:val="21"/>
          <w:shd w:val="clear"/>
        </w:rPr>
        <w:t>%以上，则认为该样品失去控制，</w:t>
      </w:r>
      <w:r>
        <w:rPr>
          <w:rFonts w:hint="eastAsia"/>
          <w:b w:val="0"/>
          <w:bCs w:val="0"/>
          <w:szCs w:val="21"/>
          <w:shd w:val="clear"/>
          <w:lang w:val="en-US" w:eastAsia="zh-CN"/>
        </w:rPr>
        <w:t>宜</w:t>
      </w:r>
      <w:r>
        <w:rPr>
          <w:b w:val="0"/>
          <w:bCs w:val="0"/>
          <w:szCs w:val="21"/>
          <w:shd w:val="clear"/>
        </w:rPr>
        <w:t>重新分析。如果IS响应仍不在范围内，则检查重复提取的结果。如果两者都超出范围且向同一方向偏移，则报告</w:t>
      </w:r>
      <w:r>
        <w:rPr>
          <w:rFonts w:hint="eastAsia"/>
          <w:b w:val="0"/>
          <w:bCs w:val="0"/>
          <w:szCs w:val="21"/>
          <w:shd w:val="clear"/>
          <w:lang w:val="en-US" w:eastAsia="zh-CN"/>
        </w:rPr>
        <w:t>为</w:t>
      </w:r>
      <w:r>
        <w:rPr>
          <w:b w:val="0"/>
          <w:bCs w:val="0"/>
          <w:szCs w:val="21"/>
          <w:shd w:val="clear"/>
        </w:rPr>
        <w:t>疑似由基质效应造成的数据。</w:t>
      </w:r>
    </w:p>
    <w:p>
      <w:pPr>
        <w:shd w:val="clear"/>
        <w:ind w:firstLine="420" w:firstLineChars="200"/>
        <w:rPr>
          <w:b w:val="0"/>
          <w:bCs w:val="0"/>
          <w:szCs w:val="21"/>
        </w:rPr>
      </w:pPr>
      <w:r>
        <w:rPr>
          <w:b w:val="0"/>
          <w:bCs w:val="0"/>
          <w:szCs w:val="21"/>
        </w:rPr>
        <w:t>在每次</w:t>
      </w:r>
      <w:r>
        <w:rPr>
          <w:rFonts w:hint="eastAsia"/>
          <w:b w:val="0"/>
          <w:bCs w:val="0"/>
          <w:szCs w:val="21"/>
          <w:lang w:val="en-US" w:eastAsia="zh-CN"/>
        </w:rPr>
        <w:t>进样期间</w:t>
      </w:r>
      <w:r>
        <w:rPr>
          <w:b w:val="0"/>
          <w:bCs w:val="0"/>
          <w:szCs w:val="21"/>
        </w:rPr>
        <w:t>进行一次溶剂空白试验，以</w:t>
      </w:r>
      <w:r>
        <w:rPr>
          <w:rFonts w:hint="eastAsia"/>
          <w:b w:val="0"/>
          <w:bCs w:val="0"/>
          <w:szCs w:val="21"/>
          <w:lang w:val="en-US" w:eastAsia="zh-CN"/>
        </w:rPr>
        <w:t>确保</w:t>
      </w:r>
      <w:r>
        <w:rPr>
          <w:b w:val="0"/>
          <w:bCs w:val="0"/>
          <w:szCs w:val="21"/>
        </w:rPr>
        <w:t>样品</w:t>
      </w:r>
      <w:r>
        <w:rPr>
          <w:rFonts w:hint="eastAsia"/>
          <w:b w:val="0"/>
          <w:bCs w:val="0"/>
          <w:szCs w:val="21"/>
          <w:lang w:val="en-US" w:eastAsia="zh-CN"/>
        </w:rPr>
        <w:t>间</w:t>
      </w:r>
      <w:r>
        <w:rPr>
          <w:b w:val="0"/>
          <w:bCs w:val="0"/>
          <w:szCs w:val="21"/>
        </w:rPr>
        <w:t>均没有分析物</w:t>
      </w:r>
      <w:r>
        <w:rPr>
          <w:rFonts w:hint="eastAsia"/>
          <w:b w:val="0"/>
          <w:bCs w:val="0"/>
          <w:szCs w:val="21"/>
          <w:lang w:val="en-US" w:eastAsia="zh-CN"/>
        </w:rPr>
        <w:t>残</w:t>
      </w:r>
      <w:r>
        <w:rPr>
          <w:b w:val="0"/>
          <w:bCs w:val="0"/>
          <w:szCs w:val="21"/>
        </w:rPr>
        <w:t>留。在分析</w:t>
      </w:r>
      <w:r>
        <w:rPr>
          <w:rFonts w:hint="eastAsia"/>
          <w:b w:val="0"/>
          <w:bCs w:val="0"/>
          <w:szCs w:val="21"/>
          <w:lang w:val="en-US" w:eastAsia="zh-CN"/>
        </w:rPr>
        <w:t>含有</w:t>
      </w:r>
      <w:r>
        <w:rPr>
          <w:b w:val="0"/>
          <w:bCs w:val="0"/>
          <w:szCs w:val="21"/>
        </w:rPr>
        <w:t>较高浓度的PAH</w:t>
      </w:r>
      <w:r>
        <w:rPr>
          <w:rFonts w:hint="eastAsia"/>
          <w:b w:val="0"/>
          <w:bCs w:val="0"/>
          <w:szCs w:val="21"/>
          <w:lang w:val="en-US" w:eastAsia="zh-CN"/>
        </w:rPr>
        <w:t>s</w:t>
      </w:r>
      <w:r>
        <w:rPr>
          <w:b w:val="0"/>
          <w:bCs w:val="0"/>
          <w:szCs w:val="21"/>
        </w:rPr>
        <w:t>或</w:t>
      </w:r>
      <w:r>
        <w:rPr>
          <w:rFonts w:hint="eastAsia"/>
          <w:b w:val="0"/>
          <w:bCs w:val="0"/>
          <w:szCs w:val="21"/>
          <w:lang w:val="en-US" w:eastAsia="zh-CN"/>
        </w:rPr>
        <w:t>者</w:t>
      </w:r>
      <w:r>
        <w:rPr>
          <w:b w:val="0"/>
          <w:bCs w:val="0"/>
          <w:szCs w:val="21"/>
        </w:rPr>
        <w:t>潜在干扰性PAH</w:t>
      </w:r>
      <w:r>
        <w:rPr>
          <w:rFonts w:hint="eastAsia"/>
          <w:b w:val="0"/>
          <w:bCs w:val="0"/>
          <w:szCs w:val="21"/>
          <w:lang w:val="en-US" w:eastAsia="zh-CN"/>
        </w:rPr>
        <w:t>s</w:t>
      </w:r>
      <w:r>
        <w:rPr>
          <w:b w:val="0"/>
          <w:bCs w:val="0"/>
          <w:szCs w:val="21"/>
        </w:rPr>
        <w:t>样品时，这一点尤为重要。</w:t>
      </w:r>
    </w:p>
    <w:p>
      <w:pPr>
        <w:pStyle w:val="47"/>
        <w:rPr>
          <w:b w:val="0"/>
          <w:bCs w:val="0"/>
        </w:rPr>
      </w:pPr>
      <w:r>
        <w:rPr>
          <w:b w:val="0"/>
          <w:bCs w:val="0"/>
        </w:rPr>
        <w:t>11.2 检出限（LOD）或方法检出限（MDL）和定量限（LOQ）</w:t>
      </w:r>
    </w:p>
    <w:p>
      <w:pPr>
        <w:ind w:firstLine="420" w:firstLineChars="200"/>
        <w:rPr>
          <w:szCs w:val="21"/>
        </w:rPr>
      </w:pPr>
      <w:r>
        <w:rPr>
          <w:szCs w:val="21"/>
          <w:shd w:val="clear"/>
        </w:rPr>
        <w:t>开展分析之前，以及每次方法或仪器类型发生重大变化时，应</w:t>
      </w:r>
      <w:r>
        <w:rPr>
          <w:rFonts w:hint="eastAsia"/>
          <w:szCs w:val="21"/>
          <w:shd w:val="clear"/>
          <w:lang w:val="en-US" w:eastAsia="zh-CN"/>
        </w:rPr>
        <w:t>对</w:t>
      </w:r>
      <w:r>
        <w:rPr>
          <w:szCs w:val="21"/>
          <w:shd w:val="clear"/>
        </w:rPr>
        <w:t>检出限（LOD）或方法检出限（MDL）</w:t>
      </w:r>
      <w:r>
        <w:rPr>
          <w:rFonts w:hint="eastAsia"/>
          <w:szCs w:val="21"/>
          <w:shd w:val="clear"/>
          <w:lang w:val="en-US" w:eastAsia="zh-CN"/>
        </w:rPr>
        <w:t>进行确认</w:t>
      </w:r>
      <w:r>
        <w:rPr>
          <w:szCs w:val="21"/>
          <w:shd w:val="clear"/>
        </w:rPr>
        <w:t>。</w:t>
      </w:r>
      <w:r>
        <w:rPr>
          <w:szCs w:val="21"/>
        </w:rPr>
        <w:t>LOD或MDL最适合通过在整个测试程序（包括提取）中对低水平或强化样品基质（例如塑料）进行反复独立测量来得到实验性确定。此分析应至少包括六次重复测量，且分析物浓度为估计LOD或MDL的三到五倍。整个测试程序的完整LOD或MDL通过将重复测量的标准偏差乘以适当因子来确定。IUPAC建议不少于6次的重复测量使用因子3，而美国EPA使用单侧置信区间，其乘数等于针对重复测量次数和置信水平选择的t</w:t>
      </w:r>
      <w:r>
        <w:rPr>
          <w:rFonts w:hint="eastAsia"/>
          <w:szCs w:val="21"/>
          <w:lang w:val="en-US" w:eastAsia="zh-CN"/>
        </w:rPr>
        <w:t>分布</w:t>
      </w:r>
      <w:r>
        <w:rPr>
          <w:szCs w:val="21"/>
        </w:rPr>
        <w:t>值（例如，6次重复测量和99%置信度时，t = 3</w:t>
      </w:r>
      <w:r>
        <w:rPr>
          <w:rFonts w:hint="eastAsia"/>
          <w:szCs w:val="21"/>
          <w:lang w:val="en-US" w:eastAsia="zh-CN"/>
        </w:rPr>
        <w:t>.</w:t>
      </w:r>
      <w:r>
        <w:rPr>
          <w:szCs w:val="21"/>
        </w:rPr>
        <w:t>36）。</w:t>
      </w:r>
    </w:p>
    <w:p>
      <w:pPr>
        <w:ind w:left="851" w:leftChars="200" w:hanging="431"/>
        <w:rPr>
          <w:szCs w:val="21"/>
        </w:rPr>
      </w:pPr>
      <w:r>
        <w:rPr>
          <w:szCs w:val="21"/>
        </w:rPr>
        <w:t>a）</w:t>
      </w:r>
      <w:r>
        <w:rPr>
          <w:rFonts w:hint="eastAsia"/>
          <w:szCs w:val="21"/>
        </w:rPr>
        <w:tab/>
      </w:r>
      <w:r>
        <w:rPr>
          <w:szCs w:val="21"/>
        </w:rPr>
        <w:t>从已知不含</w:t>
      </w:r>
      <w:r>
        <w:rPr>
          <w:rFonts w:hint="eastAsia"/>
          <w:szCs w:val="21"/>
          <w:lang w:eastAsia="zh-CN"/>
        </w:rPr>
        <w:t>PAHs</w:t>
      </w:r>
      <w:r>
        <w:rPr>
          <w:szCs w:val="21"/>
        </w:rPr>
        <w:t>或其他可能干扰分析的化合物的纯净来源中，研磨约0</w:t>
      </w:r>
      <w:r>
        <w:rPr>
          <w:rFonts w:hint="eastAsia"/>
          <w:szCs w:val="21"/>
          <w:lang w:val="en-US" w:eastAsia="zh-CN"/>
        </w:rPr>
        <w:t>.</w:t>
      </w:r>
      <w:r>
        <w:rPr>
          <w:szCs w:val="21"/>
        </w:rPr>
        <w:t>5 g合适的聚合物。</w:t>
      </w:r>
    </w:p>
    <w:p>
      <w:pPr>
        <w:ind w:left="851" w:leftChars="200" w:hanging="431"/>
        <w:rPr>
          <w:szCs w:val="21"/>
        </w:rPr>
      </w:pPr>
      <w:r>
        <w:rPr>
          <w:szCs w:val="21"/>
        </w:rPr>
        <w:t>b）</w:t>
      </w:r>
      <w:r>
        <w:rPr>
          <w:rFonts w:hint="eastAsia"/>
          <w:szCs w:val="21"/>
        </w:rPr>
        <w:tab/>
      </w:r>
      <w:r>
        <w:rPr>
          <w:szCs w:val="21"/>
        </w:rPr>
        <w:t>称量100 mg研磨后的聚合物，将其放入新的提取工具中。重复此步骤六次。</w:t>
      </w:r>
    </w:p>
    <w:p>
      <w:pPr>
        <w:ind w:left="851" w:leftChars="200" w:hanging="431"/>
        <w:rPr>
          <w:szCs w:val="21"/>
        </w:rPr>
      </w:pPr>
      <w:r>
        <w:rPr>
          <w:szCs w:val="21"/>
        </w:rPr>
        <w:t>c）</w:t>
      </w:r>
      <w:r>
        <w:rPr>
          <w:rFonts w:hint="eastAsia"/>
          <w:szCs w:val="21"/>
        </w:rPr>
        <w:tab/>
      </w:r>
      <w:r>
        <w:rPr>
          <w:szCs w:val="21"/>
        </w:rPr>
        <w:t>将提取套管放入索氏提取器或超声波装置中。</w:t>
      </w:r>
    </w:p>
    <w:p>
      <w:pPr>
        <w:ind w:left="851" w:leftChars="200" w:hanging="431"/>
        <w:rPr>
          <w:szCs w:val="21"/>
        </w:rPr>
      </w:pPr>
      <w:r>
        <w:rPr>
          <w:szCs w:val="21"/>
        </w:rPr>
        <w:t>d）</w:t>
      </w:r>
      <w:r>
        <w:rPr>
          <w:rFonts w:hint="eastAsia"/>
          <w:szCs w:val="21"/>
        </w:rPr>
        <w:tab/>
      </w:r>
      <w:r>
        <w:rPr>
          <w:szCs w:val="21"/>
        </w:rPr>
        <w:t>在套管中加入接近最低</w:t>
      </w:r>
      <w:r>
        <w:rPr>
          <w:rFonts w:hint="eastAsia"/>
          <w:szCs w:val="21"/>
          <w:lang w:val="en-US" w:eastAsia="zh-CN"/>
        </w:rPr>
        <w:t>校准</w:t>
      </w:r>
      <w:r>
        <w:rPr>
          <w:szCs w:val="21"/>
        </w:rPr>
        <w:t>浓度</w:t>
      </w:r>
      <w:r>
        <w:rPr>
          <w:rFonts w:hint="eastAsia"/>
          <w:szCs w:val="21"/>
          <w:lang w:val="en-US" w:eastAsia="zh-CN"/>
        </w:rPr>
        <w:t>的</w:t>
      </w:r>
      <w:r>
        <w:rPr>
          <w:szCs w:val="21"/>
        </w:rPr>
        <w:t>0.1 m</w:t>
      </w:r>
      <w:r>
        <w:rPr>
          <w:rFonts w:hint="eastAsia"/>
          <w:szCs w:val="21"/>
          <w:lang w:val="en-US" w:eastAsia="zh-CN"/>
        </w:rPr>
        <w:t>L</w:t>
      </w:r>
      <w:r>
        <w:rPr>
          <w:szCs w:val="21"/>
        </w:rPr>
        <w:t xml:space="preserve"> PAH</w:t>
      </w:r>
      <w:r>
        <w:rPr>
          <w:rFonts w:hint="eastAsia"/>
          <w:szCs w:val="21"/>
          <w:lang w:val="en-US" w:eastAsia="zh-CN"/>
        </w:rPr>
        <w:t>s</w:t>
      </w:r>
      <w:r>
        <w:rPr>
          <w:szCs w:val="21"/>
        </w:rPr>
        <w:t>（每种PAH各0.1 m</w:t>
      </w:r>
      <w:r>
        <w:rPr>
          <w:rFonts w:hint="eastAsia"/>
          <w:szCs w:val="21"/>
          <w:lang w:val="en-US" w:eastAsia="zh-CN"/>
        </w:rPr>
        <w:t>L</w:t>
      </w:r>
      <w:r>
        <w:rPr>
          <w:szCs w:val="21"/>
        </w:rPr>
        <w:t>，1 g/m</w:t>
      </w:r>
      <w:r>
        <w:rPr>
          <w:rFonts w:hint="eastAsia"/>
          <w:szCs w:val="21"/>
          <w:lang w:val="en-US" w:eastAsia="zh-CN"/>
        </w:rPr>
        <w:t>L</w:t>
      </w:r>
      <w:r>
        <w:rPr>
          <w:szCs w:val="21"/>
        </w:rPr>
        <w:t>）（8.4.3</w:t>
      </w:r>
      <w:r>
        <w:rPr>
          <w:rFonts w:hint="eastAsia"/>
          <w:szCs w:val="21"/>
          <w:lang w:val="en-US" w:eastAsia="zh-CN"/>
        </w:rPr>
        <w:t>.</w:t>
      </w:r>
      <w:r>
        <w:rPr>
          <w:szCs w:val="21"/>
        </w:rPr>
        <w:t xml:space="preserve"> k））和10 μ</w:t>
      </w:r>
      <w:r>
        <w:rPr>
          <w:rFonts w:hint="eastAsia"/>
          <w:szCs w:val="21"/>
          <w:lang w:val="en-US" w:eastAsia="zh-CN"/>
        </w:rPr>
        <w:t>L</w:t>
      </w:r>
      <w:r>
        <w:rPr>
          <w:rFonts w:hint="eastAsia"/>
          <w:szCs w:val="21"/>
          <w:lang w:eastAsia="zh-CN"/>
        </w:rPr>
        <w:t>标记物</w:t>
      </w:r>
      <w:r>
        <w:rPr>
          <w:szCs w:val="21"/>
        </w:rPr>
        <w:t>（50 g/m</w:t>
      </w:r>
      <w:r>
        <w:rPr>
          <w:rFonts w:hint="eastAsia"/>
          <w:szCs w:val="21"/>
          <w:lang w:val="en-US" w:eastAsia="zh-CN"/>
        </w:rPr>
        <w:t>L</w:t>
      </w:r>
      <w:r>
        <w:rPr>
          <w:szCs w:val="21"/>
        </w:rPr>
        <w:t xml:space="preserve">）（8.4.5 </w:t>
      </w:r>
      <w:r>
        <w:rPr>
          <w:rFonts w:hint="eastAsia"/>
          <w:szCs w:val="21"/>
          <w:lang w:val="en-US" w:eastAsia="zh-CN"/>
        </w:rPr>
        <w:t>.</w:t>
      </w:r>
      <w:r>
        <w:rPr>
          <w:szCs w:val="21"/>
        </w:rPr>
        <w:t>d））储备溶液。</w:t>
      </w:r>
    </w:p>
    <w:p>
      <w:pPr>
        <w:ind w:left="851" w:leftChars="200" w:hanging="431"/>
        <w:rPr>
          <w:rFonts w:hint="eastAsia" w:eastAsia="宋体"/>
          <w:szCs w:val="21"/>
          <w:lang w:val="en-US" w:eastAsia="zh-CN"/>
        </w:rPr>
      </w:pPr>
      <w:r>
        <w:rPr>
          <w:szCs w:val="21"/>
        </w:rPr>
        <w:t>e）</w:t>
      </w:r>
      <w:r>
        <w:rPr>
          <w:rFonts w:hint="eastAsia"/>
          <w:szCs w:val="21"/>
        </w:rPr>
        <w:tab/>
      </w:r>
      <w:r>
        <w:rPr>
          <w:szCs w:val="21"/>
        </w:rPr>
        <w:t>执行程序（根据8.2.1或8.2.2提取）来提取每份样品</w:t>
      </w:r>
      <w:r>
        <w:rPr>
          <w:rFonts w:hint="eastAsia"/>
          <w:szCs w:val="21"/>
          <w:lang w:eastAsia="zh-CN"/>
        </w:rPr>
        <w:t>，</w:t>
      </w:r>
      <w:r>
        <w:rPr>
          <w:szCs w:val="21"/>
        </w:rPr>
        <w:t>完成相应分析。</w:t>
      </w:r>
    </w:p>
    <w:p>
      <w:pPr>
        <w:ind w:firstLine="420" w:firstLineChars="200"/>
        <w:rPr>
          <w:szCs w:val="21"/>
        </w:rPr>
      </w:pPr>
      <w:r>
        <w:rPr>
          <w:szCs w:val="21"/>
        </w:rPr>
        <w:t>每种同系物的回收率范围</w:t>
      </w:r>
      <w:r>
        <w:rPr>
          <w:rFonts w:hint="eastAsia"/>
          <w:szCs w:val="21"/>
          <w:lang w:val="en-US" w:eastAsia="zh-CN"/>
        </w:rPr>
        <w:t>宜</w:t>
      </w:r>
      <w:r>
        <w:rPr>
          <w:szCs w:val="21"/>
        </w:rPr>
        <w:t>在</w:t>
      </w:r>
      <w:r>
        <w:rPr>
          <w:rFonts w:hint="eastAsia"/>
          <w:szCs w:val="21"/>
        </w:rPr>
        <w:t>70 %</w:t>
      </w:r>
      <w:r>
        <w:rPr>
          <w:szCs w:val="21"/>
        </w:rPr>
        <w:t>至</w:t>
      </w:r>
      <w:r>
        <w:rPr>
          <w:rFonts w:hint="eastAsia"/>
          <w:szCs w:val="21"/>
          <w:lang w:val="en-US" w:eastAsia="zh-CN"/>
        </w:rPr>
        <w:t>130</w:t>
      </w:r>
      <w:r>
        <w:rPr>
          <w:rFonts w:hint="eastAsia"/>
          <w:szCs w:val="21"/>
        </w:rPr>
        <w:t xml:space="preserve"> %</w:t>
      </w:r>
      <w:r>
        <w:rPr>
          <w:szCs w:val="21"/>
        </w:rPr>
        <w:t>之间。如果回收率高于或低于这些限值，重新进行分析。如果第二次回收率</w:t>
      </w:r>
      <w:r>
        <w:rPr>
          <w:rFonts w:hint="eastAsia"/>
          <w:szCs w:val="21"/>
          <w:lang w:val="en-US" w:eastAsia="zh-CN"/>
        </w:rPr>
        <w:t>仍</w:t>
      </w:r>
      <w:r>
        <w:rPr>
          <w:szCs w:val="21"/>
        </w:rPr>
        <w:t>超</w:t>
      </w:r>
      <w:r>
        <w:rPr>
          <w:rFonts w:hint="eastAsia"/>
          <w:szCs w:val="21"/>
          <w:lang w:val="en-US" w:eastAsia="zh-CN"/>
        </w:rPr>
        <w:t>出范围</w:t>
      </w:r>
      <w:r>
        <w:rPr>
          <w:szCs w:val="21"/>
        </w:rPr>
        <w:t>，则重复整个提取和分析</w:t>
      </w:r>
      <w:r>
        <w:rPr>
          <w:rFonts w:hint="eastAsia"/>
          <w:szCs w:val="21"/>
          <w:lang w:val="en-US" w:eastAsia="zh-CN"/>
        </w:rPr>
        <w:t>的</w:t>
      </w:r>
      <w:r>
        <w:rPr>
          <w:szCs w:val="21"/>
        </w:rPr>
        <w:t>程序。</w:t>
      </w:r>
    </w:p>
    <w:p>
      <w:pPr>
        <w:ind w:firstLine="420" w:firstLineChars="200"/>
        <w:rPr>
          <w:szCs w:val="21"/>
        </w:rPr>
      </w:pPr>
      <w:r>
        <w:rPr>
          <w:szCs w:val="21"/>
        </w:rPr>
        <w:t>每种同系物的LOQ计算结果</w:t>
      </w:r>
      <w:r>
        <w:rPr>
          <w:rFonts w:hint="eastAsia"/>
          <w:szCs w:val="21"/>
          <w:lang w:val="en-US" w:eastAsia="zh-CN"/>
        </w:rPr>
        <w:t>宜</w:t>
      </w:r>
      <w:r>
        <w:rPr>
          <w:szCs w:val="21"/>
        </w:rPr>
        <w:t>小于0.2 mg/kg。如果任何同系物的LOQ计算结果高于这些限值，则对相关同系物重新执行提取和分析</w:t>
      </w:r>
      <w:r>
        <w:rPr>
          <w:rFonts w:hint="eastAsia"/>
          <w:szCs w:val="21"/>
          <w:lang w:val="en-US" w:eastAsia="zh-CN"/>
        </w:rPr>
        <w:t>的</w:t>
      </w:r>
      <w:r>
        <w:rPr>
          <w:szCs w:val="21"/>
        </w:rPr>
        <w:t>程序。</w:t>
      </w:r>
    </w:p>
    <w:p>
      <w:pPr>
        <w:ind w:firstLine="420" w:firstLineChars="200"/>
        <w:rPr>
          <w:szCs w:val="21"/>
        </w:rPr>
      </w:pPr>
      <w:r>
        <w:rPr>
          <w:szCs w:val="21"/>
        </w:rPr>
        <w:t>每种同系物的定量限（LOQ）至少为各自LOD或MDL的三倍。</w:t>
      </w:r>
      <w:r>
        <w:rPr>
          <w:rFonts w:hint="eastAsia"/>
          <w:szCs w:val="21"/>
        </w:rPr>
        <w:t>与检测有关的 LOD或 MDL 不同</w:t>
      </w:r>
      <w:r>
        <w:rPr>
          <w:rFonts w:hint="eastAsia"/>
          <w:szCs w:val="21"/>
          <w:lang w:eastAsia="zh-CN"/>
        </w:rPr>
        <w:t>，</w:t>
      </w:r>
      <w:r>
        <w:rPr>
          <w:rFonts w:hint="eastAsia"/>
          <w:szCs w:val="21"/>
        </w:rPr>
        <w:t xml:space="preserve"> 定量限(LOQ) 是可以精确定量测定的浓度。</w:t>
      </w:r>
    </w:p>
    <w:p>
      <w:pPr>
        <w:ind w:firstLine="420" w:firstLineChars="200"/>
        <w:rPr>
          <w:szCs w:val="21"/>
        </w:rPr>
      </w:pPr>
      <w:r>
        <w:rPr>
          <w:szCs w:val="21"/>
        </w:rPr>
        <w:t>如果LOD或MDL不能满足要求，可以在提取程序中增加浓缩步骤。由于浓缩步骤也会增加提取物中的树脂浓度，</w:t>
      </w:r>
      <w:r>
        <w:rPr>
          <w:rFonts w:hint="eastAsia"/>
          <w:szCs w:val="21"/>
          <w:lang w:val="en-US" w:eastAsia="zh-CN"/>
        </w:rPr>
        <w:t>可</w:t>
      </w:r>
      <w:r>
        <w:rPr>
          <w:szCs w:val="21"/>
        </w:rPr>
        <w:t>对每份样品</w:t>
      </w:r>
      <w:r>
        <w:rPr>
          <w:rFonts w:hint="eastAsia"/>
          <w:szCs w:val="21"/>
          <w:lang w:val="en-US" w:eastAsia="zh-CN"/>
        </w:rPr>
        <w:t>进行</w:t>
      </w:r>
      <w:r>
        <w:rPr>
          <w:szCs w:val="21"/>
        </w:rPr>
        <w:t>净化。这样可以延长管柱寿命，降低仪器维护频率。如果分析时</w:t>
      </w:r>
      <w:r>
        <w:rPr>
          <w:rFonts w:hint="eastAsia"/>
          <w:szCs w:val="21"/>
          <w:lang w:val="en-US" w:eastAsia="zh-CN"/>
        </w:rPr>
        <w:t>进行</w:t>
      </w:r>
      <w:r>
        <w:rPr>
          <w:szCs w:val="21"/>
        </w:rPr>
        <w:t>了浓缩和净化，对LOD或MDL样品也同样</w:t>
      </w:r>
      <w:r>
        <w:rPr>
          <w:rFonts w:hint="eastAsia"/>
          <w:szCs w:val="21"/>
          <w:lang w:val="en-US" w:eastAsia="zh-CN"/>
        </w:rPr>
        <w:t>处理</w:t>
      </w:r>
      <w:r>
        <w:rPr>
          <w:szCs w:val="21"/>
        </w:rPr>
        <w:t>。</w:t>
      </w:r>
    </w:p>
    <w:p>
      <w:pPr>
        <w:ind w:firstLine="420" w:firstLineChars="200"/>
        <w:rPr>
          <w:szCs w:val="21"/>
        </w:rPr>
      </w:pPr>
    </w:p>
    <w:p>
      <w:pPr>
        <w:ind w:firstLine="420" w:firstLineChars="200"/>
        <w:rPr>
          <w:szCs w:val="21"/>
        </w:rPr>
      </w:pPr>
    </w:p>
    <w:p>
      <w:pPr>
        <w:widowControl/>
        <w:spacing w:before="312" w:beforeLines="100" w:after="312" w:afterLines="100"/>
        <w:outlineLvl w:val="0"/>
        <w:rPr>
          <w:rFonts w:ascii="黑体" w:hAnsi="黑体" w:eastAsia="黑体"/>
          <w:kern w:val="0"/>
          <w:szCs w:val="20"/>
        </w:rPr>
      </w:pPr>
      <w:bookmarkStart w:id="39" w:name="_Toc1227"/>
      <w:bookmarkStart w:id="40" w:name="_Toc8051"/>
      <w:r>
        <w:rPr>
          <w:rFonts w:ascii="黑体" w:hAnsi="黑体" w:eastAsia="黑体"/>
          <w:kern w:val="0"/>
          <w:szCs w:val="20"/>
        </w:rPr>
        <w:t>12 检测报告</w:t>
      </w:r>
      <w:bookmarkEnd w:id="39"/>
      <w:bookmarkEnd w:id="40"/>
    </w:p>
    <w:p>
      <w:pPr>
        <w:ind w:firstLine="420" w:firstLineChars="200"/>
        <w:rPr>
          <w:szCs w:val="21"/>
        </w:rPr>
      </w:pPr>
      <w:r>
        <w:rPr>
          <w:szCs w:val="21"/>
        </w:rPr>
        <w:t>在本部分适用</w:t>
      </w:r>
      <w:r>
        <w:rPr>
          <w:rFonts w:hint="eastAsia"/>
          <w:szCs w:val="21"/>
          <w:lang w:val="en-US" w:eastAsia="zh-CN"/>
        </w:rPr>
        <w:t>GB/T39560.1-2020</w:t>
      </w:r>
      <w:r>
        <w:rPr>
          <w:rFonts w:hint="eastAsia"/>
          <w:szCs w:val="21"/>
          <w:lang w:eastAsia="zh-CN"/>
        </w:rPr>
        <w:t>，</w:t>
      </w:r>
      <w:r>
        <w:rPr>
          <w:szCs w:val="21"/>
        </w:rPr>
        <w:t>4.8（检测报告）。</w:t>
      </w:r>
    </w:p>
    <w:p>
      <w:pPr>
        <w:jc w:val="center"/>
        <w:rPr>
          <w:b/>
          <w:szCs w:val="21"/>
        </w:rPr>
      </w:pPr>
    </w:p>
    <w:p>
      <w:pPr>
        <w:rPr>
          <w:b/>
          <w:szCs w:val="21"/>
        </w:rPr>
      </w:pPr>
      <w:r>
        <w:rPr>
          <w:b/>
          <w:szCs w:val="21"/>
        </w:rPr>
        <w:br w:type="page"/>
      </w:r>
    </w:p>
    <w:p>
      <w:pPr>
        <w:keepNext/>
        <w:widowControl/>
        <w:shd w:val="clear" w:color="FFFFFF" w:fill="FFFFFF"/>
        <w:tabs>
          <w:tab w:val="left" w:pos="6405"/>
        </w:tabs>
        <w:spacing w:before="640" w:after="280"/>
        <w:jc w:val="center"/>
        <w:outlineLvl w:val="0"/>
        <w:rPr>
          <w:rFonts w:eastAsia="黑体"/>
          <w:kern w:val="0"/>
          <w:szCs w:val="20"/>
        </w:rPr>
      </w:pPr>
      <w:bookmarkStart w:id="41" w:name="_Toc15749"/>
      <w:bookmarkStart w:id="42" w:name="_Toc23989"/>
      <w:r>
        <w:rPr>
          <w:rFonts w:eastAsia="黑体"/>
          <w:kern w:val="0"/>
          <w:szCs w:val="20"/>
        </w:rPr>
        <w:t>附录A</w:t>
      </w:r>
      <w:r>
        <w:rPr>
          <w:rFonts w:hint="eastAsia" w:eastAsia="黑体"/>
          <w:kern w:val="0"/>
          <w:szCs w:val="20"/>
        </w:rPr>
        <w:br w:type="textWrapping"/>
      </w:r>
      <w:r>
        <w:rPr>
          <w:rFonts w:eastAsia="黑体"/>
          <w:kern w:val="0"/>
          <w:szCs w:val="20"/>
        </w:rPr>
        <w:t>（资料性）</w:t>
      </w:r>
      <w:r>
        <w:rPr>
          <w:rFonts w:hint="eastAsia" w:eastAsia="黑体"/>
          <w:kern w:val="0"/>
          <w:szCs w:val="20"/>
        </w:rPr>
        <w:br w:type="textWrapping"/>
      </w:r>
      <w:r>
        <w:rPr>
          <w:rFonts w:eastAsia="黑体"/>
          <w:kern w:val="0"/>
          <w:szCs w:val="20"/>
        </w:rPr>
        <w:t>其他GC-MS条件</w:t>
      </w:r>
      <w:bookmarkEnd w:id="41"/>
      <w:bookmarkEnd w:id="42"/>
    </w:p>
    <w:p>
      <w:pPr>
        <w:pStyle w:val="47"/>
      </w:pPr>
      <w:r>
        <w:t>A.1 GC-MS的仪器参数</w:t>
      </w:r>
    </w:p>
    <w:p>
      <w:pPr>
        <w:spacing w:before="156" w:beforeLines="50" w:after="156" w:afterLines="50"/>
        <w:jc w:val="center"/>
        <w:rPr>
          <w:b/>
          <w:bCs/>
          <w:szCs w:val="21"/>
        </w:rPr>
      </w:pPr>
      <w:r>
        <w:rPr>
          <w:b/>
          <w:bCs/>
          <w:szCs w:val="21"/>
        </w:rPr>
        <w:t>表A.1</w:t>
      </w:r>
      <w:r>
        <w:rPr>
          <w:rFonts w:hint="eastAsia"/>
          <w:b/>
          <w:bCs/>
          <w:szCs w:val="21"/>
          <w:lang w:val="en-US" w:eastAsia="zh-CN"/>
        </w:rPr>
        <w:t xml:space="preserve"> </w:t>
      </w:r>
      <w:r>
        <w:rPr>
          <w:b/>
          <w:bCs/>
          <w:szCs w:val="21"/>
        </w:rPr>
        <w:t>GC-MS的仪器参数</w:t>
      </w:r>
    </w:p>
    <w:tbl>
      <w:tblPr>
        <w:tblStyle w:val="44"/>
        <w:tblW w:w="9468" w:type="dxa"/>
        <w:tblInd w:w="0" w:type="dxa"/>
        <w:tblLayout w:type="fixed"/>
        <w:tblCellMar>
          <w:top w:w="0" w:type="dxa"/>
          <w:left w:w="57" w:type="dxa"/>
          <w:bottom w:w="0" w:type="dxa"/>
          <w:right w:w="57" w:type="dxa"/>
        </w:tblCellMar>
      </w:tblPr>
      <w:tblGrid>
        <w:gridCol w:w="4334"/>
        <w:gridCol w:w="5134"/>
      </w:tblGrid>
      <w:tr>
        <w:tblPrEx>
          <w:tblLayout w:type="fixed"/>
          <w:tblCellMar>
            <w:top w:w="0" w:type="dxa"/>
            <w:left w:w="57" w:type="dxa"/>
            <w:bottom w:w="0" w:type="dxa"/>
            <w:right w:w="57" w:type="dxa"/>
          </w:tblCellMar>
        </w:tblPrEx>
        <w:tc>
          <w:tcPr>
            <w:tcW w:w="9468" w:type="dxa"/>
            <w:gridSpan w:val="2"/>
            <w:tcBorders>
              <w:top w:val="single" w:color="auto" w:sz="4" w:space="0"/>
              <w:left w:val="single" w:color="auto" w:sz="4" w:space="0"/>
              <w:right w:val="single" w:color="auto" w:sz="4" w:space="0"/>
            </w:tcBorders>
            <w:shd w:val="clear" w:color="auto" w:fill="FFFFFF"/>
            <w:vAlign w:val="center"/>
          </w:tcPr>
          <w:p>
            <w:pPr>
              <w:jc w:val="center"/>
              <w:rPr>
                <w:b/>
                <w:szCs w:val="21"/>
              </w:rPr>
            </w:pPr>
            <w:r>
              <w:rPr>
                <w:b/>
                <w:szCs w:val="21"/>
              </w:rPr>
              <w:t>GC参数</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szCs w:val="21"/>
              </w:rPr>
              <w:t>进样量</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rFonts w:hint="eastAsia" w:eastAsia="宋体"/>
                <w:szCs w:val="21"/>
                <w:lang w:eastAsia="zh-CN"/>
              </w:rPr>
            </w:pPr>
            <w:r>
              <w:rPr>
                <w:szCs w:val="21"/>
              </w:rPr>
              <w:t>1</w:t>
            </w:r>
            <w:r>
              <w:rPr>
                <w:rFonts w:hint="eastAsia"/>
                <w:szCs w:val="21"/>
                <w:lang w:val="en-US" w:eastAsia="zh-CN"/>
              </w:rPr>
              <w:t>.</w:t>
            </w:r>
            <w:r>
              <w:rPr>
                <w:szCs w:val="21"/>
              </w:rPr>
              <w:t>0 μ</w:t>
            </w:r>
            <w:r>
              <w:rPr>
                <w:rFonts w:hint="eastAsia"/>
                <w:szCs w:val="21"/>
                <w:lang w:val="en-US" w:eastAsia="zh-CN"/>
              </w:rPr>
              <w:t>L</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szCs w:val="21"/>
              </w:rPr>
              <w:t>进样</w:t>
            </w:r>
            <w:r>
              <w:rPr>
                <w:rFonts w:hint="eastAsia"/>
                <w:szCs w:val="21"/>
                <w:lang w:val="en-US" w:eastAsia="zh-CN"/>
              </w:rPr>
              <w:t>口</w:t>
            </w:r>
            <w:r>
              <w:rPr>
                <w:szCs w:val="21"/>
              </w:rPr>
              <w:t>温度</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280 °C</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szCs w:val="21"/>
              </w:rPr>
              <w:t>进样方式</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不分流</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rFonts w:hint="eastAsia"/>
                <w:szCs w:val="21"/>
                <w:lang w:val="en-US" w:eastAsia="zh-CN"/>
              </w:rPr>
              <w:t>进样口</w:t>
            </w:r>
            <w:r>
              <w:rPr>
                <w:szCs w:val="21"/>
              </w:rPr>
              <w:t>衬管</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分流式/不分流式衬管</w:t>
            </w:r>
          </w:p>
          <w:p>
            <w:pPr>
              <w:jc w:val="center"/>
              <w:rPr>
                <w:szCs w:val="21"/>
              </w:rPr>
            </w:pPr>
            <w:r>
              <w:rPr>
                <w:szCs w:val="21"/>
              </w:rPr>
              <w:t>（内径：4 mm，单锥，带玻璃棉）</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rFonts w:hint="eastAsia"/>
                <w:szCs w:val="21"/>
                <w:lang w:val="en-US" w:eastAsia="zh-CN"/>
              </w:rPr>
              <w:t>色谱</w:t>
            </w:r>
            <w:r>
              <w:rPr>
                <w:szCs w:val="21"/>
              </w:rPr>
              <w:t>柱</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DB-EUPAH，（20 m x 0.18 mm x 0.14 pm），毛细管柱</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szCs w:val="21"/>
              </w:rPr>
              <w:t>载气</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氦气：1</w:t>
            </w:r>
            <w:r>
              <w:rPr>
                <w:rFonts w:hint="eastAsia"/>
                <w:szCs w:val="21"/>
                <w:lang w:val="en-US" w:eastAsia="zh-CN"/>
              </w:rPr>
              <w:t>.</w:t>
            </w:r>
            <w:r>
              <w:rPr>
                <w:szCs w:val="21"/>
              </w:rPr>
              <w:t>0 m</w:t>
            </w:r>
            <w:r>
              <w:rPr>
                <w:rFonts w:hint="eastAsia"/>
                <w:szCs w:val="21"/>
                <w:lang w:val="en-US" w:eastAsia="zh-CN"/>
              </w:rPr>
              <w:t>L</w:t>
            </w:r>
            <w:r>
              <w:rPr>
                <w:szCs w:val="21"/>
              </w:rPr>
              <w:t>/min（恒流）</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rFonts w:hint="eastAsia"/>
                <w:szCs w:val="21"/>
                <w:lang w:val="en-US" w:eastAsia="zh-CN"/>
              </w:rPr>
              <w:t>柱温</w:t>
            </w:r>
            <w:r>
              <w:rPr>
                <w:szCs w:val="21"/>
              </w:rPr>
              <w:t>箱</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初始温度（50 °C，持续1分钟）</w:t>
            </w:r>
          </w:p>
          <w:p>
            <w:pPr>
              <w:jc w:val="center"/>
              <w:rPr>
                <w:szCs w:val="21"/>
              </w:rPr>
            </w:pPr>
            <w:r>
              <w:rPr>
                <w:szCs w:val="21"/>
              </w:rPr>
              <w:t>升温1：以10 °C/min升温至200 °C，持续0分钟</w:t>
            </w:r>
          </w:p>
          <w:p>
            <w:pPr>
              <w:jc w:val="center"/>
              <w:rPr>
                <w:szCs w:val="21"/>
              </w:rPr>
            </w:pPr>
            <w:r>
              <w:rPr>
                <w:szCs w:val="21"/>
              </w:rPr>
              <w:t>升温2：以7 °C/min升温至250 °C，持续2分钟</w:t>
            </w:r>
          </w:p>
          <w:p>
            <w:pPr>
              <w:jc w:val="center"/>
              <w:rPr>
                <w:szCs w:val="21"/>
              </w:rPr>
            </w:pPr>
            <w:r>
              <w:rPr>
                <w:szCs w:val="21"/>
              </w:rPr>
              <w:t>升温3：以3 °C/min升温至300 °C，持续5分钟</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szCs w:val="21"/>
              </w:rPr>
              <w:t>传输线温度</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280 °C，直接</w:t>
            </w:r>
          </w:p>
        </w:tc>
      </w:tr>
      <w:tr>
        <w:tblPrEx>
          <w:tblLayout w:type="fixed"/>
          <w:tblCellMar>
            <w:top w:w="0" w:type="dxa"/>
            <w:left w:w="57" w:type="dxa"/>
            <w:bottom w:w="0" w:type="dxa"/>
            <w:right w:w="57" w:type="dxa"/>
          </w:tblCellMar>
        </w:tblPrEx>
        <w:tc>
          <w:tcPr>
            <w:tcW w:w="9468" w:type="dxa"/>
            <w:gridSpan w:val="2"/>
            <w:tcBorders>
              <w:top w:val="single" w:color="auto" w:sz="4" w:space="0"/>
              <w:left w:val="single" w:color="auto" w:sz="4" w:space="0"/>
              <w:right w:val="single" w:color="auto" w:sz="4" w:space="0"/>
            </w:tcBorders>
            <w:shd w:val="clear" w:color="auto" w:fill="FFFFFF"/>
            <w:vAlign w:val="center"/>
          </w:tcPr>
          <w:p>
            <w:pPr>
              <w:jc w:val="center"/>
              <w:rPr>
                <w:b/>
                <w:szCs w:val="21"/>
              </w:rPr>
            </w:pPr>
            <w:r>
              <w:rPr>
                <w:b/>
                <w:szCs w:val="21"/>
              </w:rPr>
              <w:t>MS参数</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szCs w:val="21"/>
              </w:rPr>
              <w:t>溶剂</w:t>
            </w:r>
            <w:r>
              <w:rPr>
                <w:rFonts w:hint="eastAsia"/>
                <w:szCs w:val="21"/>
                <w:lang w:val="en-US" w:eastAsia="zh-CN"/>
              </w:rPr>
              <w:t>延迟</w:t>
            </w:r>
            <w:r>
              <w:rPr>
                <w:szCs w:val="21"/>
              </w:rPr>
              <w:t>时间</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5分钟</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szCs w:val="21"/>
              </w:rPr>
              <w:t>EM（相对电压）</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1 500 V</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szCs w:val="21"/>
              </w:rPr>
              <w:t>MS四极杆温度</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150 °C（最高：200 °C）</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rFonts w:hint="eastAsia"/>
                <w:szCs w:val="21"/>
                <w:lang w:val="en-US" w:eastAsia="zh-CN"/>
              </w:rPr>
              <w:t>离子</w:t>
            </w:r>
            <w:r>
              <w:rPr>
                <w:szCs w:val="21"/>
              </w:rPr>
              <w:t>源温度</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230 °C（最高：250 °C）</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szCs w:val="21"/>
              </w:rPr>
              <w:t>扫描范围</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50 amu至550 amu</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rFonts w:hint="eastAsia"/>
                <w:szCs w:val="21"/>
                <w:lang w:val="en-US" w:eastAsia="zh-CN"/>
              </w:rPr>
              <w:t>扫描频</w:t>
            </w:r>
            <w:r>
              <w:rPr>
                <w:szCs w:val="21"/>
              </w:rPr>
              <w:t>率</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tcBorders>
            <w:shd w:val="clear" w:color="auto" w:fill="FFFFFF"/>
            <w:vAlign w:val="center"/>
          </w:tcPr>
          <w:p>
            <w:pPr>
              <w:jc w:val="center"/>
              <w:rPr>
                <w:szCs w:val="21"/>
              </w:rPr>
            </w:pPr>
            <w:r>
              <w:rPr>
                <w:szCs w:val="21"/>
              </w:rPr>
              <w:t>采集方式</w:t>
            </w:r>
          </w:p>
        </w:tc>
        <w:tc>
          <w:tcPr>
            <w:tcW w:w="5134"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扫描/SIM方式</w:t>
            </w:r>
          </w:p>
        </w:tc>
      </w:tr>
      <w:tr>
        <w:tblPrEx>
          <w:tblLayout w:type="fixed"/>
          <w:tblCellMar>
            <w:top w:w="0" w:type="dxa"/>
            <w:left w:w="57" w:type="dxa"/>
            <w:bottom w:w="0" w:type="dxa"/>
            <w:right w:w="57" w:type="dxa"/>
          </w:tblCellMar>
        </w:tblPrEx>
        <w:tc>
          <w:tcPr>
            <w:tcW w:w="4334"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阈值</w:t>
            </w:r>
          </w:p>
        </w:tc>
        <w:tc>
          <w:tcPr>
            <w:tcW w:w="513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szCs w:val="21"/>
              </w:rPr>
            </w:pPr>
            <w:r>
              <w:rPr>
                <w:szCs w:val="21"/>
              </w:rPr>
              <w:t>150</w:t>
            </w:r>
          </w:p>
        </w:tc>
      </w:tr>
    </w:tbl>
    <w:p>
      <w:pPr>
        <w:rPr>
          <w:szCs w:val="21"/>
        </w:rPr>
      </w:pPr>
      <w:r>
        <w:rPr>
          <w:szCs w:val="21"/>
        </w:rPr>
        <w:br w:type="page"/>
      </w:r>
    </w:p>
    <w:p>
      <w:pPr>
        <w:pStyle w:val="47"/>
      </w:pPr>
      <w:r>
        <w:t xml:space="preserve">A.2 </w:t>
      </w:r>
      <w:r>
        <w:rPr>
          <w:rFonts w:hint="eastAsia"/>
          <w:lang w:eastAsia="zh-CN"/>
        </w:rPr>
        <w:t>PAHs</w:t>
      </w:r>
      <w:r>
        <w:t>的合适色谱柱及其分离结果示例</w:t>
      </w:r>
    </w:p>
    <w:p>
      <w:pPr>
        <w:spacing w:before="156" w:beforeLines="50" w:after="156" w:afterLines="50"/>
        <w:jc w:val="center"/>
        <w:rPr>
          <w:b/>
          <w:bCs/>
          <w:szCs w:val="21"/>
        </w:rPr>
      </w:pPr>
      <w:r>
        <w:rPr>
          <w:b/>
          <w:bCs/>
          <w:szCs w:val="21"/>
        </w:rPr>
        <w:t>表A.2</w:t>
      </w:r>
      <w:r>
        <w:rPr>
          <w:rFonts w:hint="eastAsia"/>
          <w:b/>
          <w:bCs/>
          <w:szCs w:val="21"/>
          <w:lang w:val="en-US" w:eastAsia="zh-CN"/>
        </w:rPr>
        <w:t xml:space="preserve"> </w:t>
      </w:r>
      <w:r>
        <w:rPr>
          <w:rFonts w:hint="eastAsia"/>
          <w:b/>
          <w:bCs/>
          <w:szCs w:val="21"/>
          <w:lang w:eastAsia="zh-CN"/>
        </w:rPr>
        <w:t>PAHs</w:t>
      </w:r>
      <w:r>
        <w:rPr>
          <w:b/>
          <w:bCs/>
          <w:szCs w:val="21"/>
        </w:rPr>
        <w:t>的合适色谱柱及其分离结果示例</w:t>
      </w:r>
    </w:p>
    <w:tbl>
      <w:tblPr>
        <w:tblStyle w:val="44"/>
        <w:tblW w:w="9468" w:type="dxa"/>
        <w:tblInd w:w="0" w:type="dxa"/>
        <w:tblLayout w:type="fixed"/>
        <w:tblCellMar>
          <w:top w:w="0" w:type="dxa"/>
          <w:left w:w="57" w:type="dxa"/>
          <w:bottom w:w="0" w:type="dxa"/>
          <w:right w:w="57" w:type="dxa"/>
        </w:tblCellMar>
      </w:tblPr>
      <w:tblGrid>
        <w:gridCol w:w="1900"/>
        <w:gridCol w:w="1889"/>
        <w:gridCol w:w="1894"/>
        <w:gridCol w:w="1885"/>
        <w:gridCol w:w="1900"/>
      </w:tblGrid>
      <w:tr>
        <w:tblPrEx>
          <w:tblLayout w:type="fixed"/>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b/>
                <w:szCs w:val="21"/>
              </w:rPr>
            </w:pPr>
            <w:r>
              <w:rPr>
                <w:b/>
                <w:szCs w:val="21"/>
              </w:rPr>
              <w:t>GC-MS PAH色谱柱</w:t>
            </w:r>
          </w:p>
        </w:tc>
        <w:tc>
          <w:tcPr>
            <w:tcW w:w="1889" w:type="dxa"/>
            <w:tcBorders>
              <w:top w:val="single" w:color="auto" w:sz="4" w:space="0"/>
              <w:left w:val="single" w:color="auto" w:sz="4" w:space="0"/>
            </w:tcBorders>
            <w:shd w:val="clear" w:color="auto" w:fill="FFFFFF"/>
            <w:vAlign w:val="center"/>
          </w:tcPr>
          <w:p>
            <w:pPr>
              <w:jc w:val="center"/>
              <w:rPr>
                <w:b/>
                <w:szCs w:val="21"/>
              </w:rPr>
            </w:pPr>
            <w:r>
              <w:rPr>
                <w:b/>
                <w:szCs w:val="21"/>
              </w:rPr>
              <w:t>DB-5MS</w:t>
            </w:r>
          </w:p>
        </w:tc>
        <w:tc>
          <w:tcPr>
            <w:tcW w:w="1894" w:type="dxa"/>
            <w:tcBorders>
              <w:top w:val="single" w:color="auto" w:sz="4" w:space="0"/>
              <w:left w:val="single" w:color="auto" w:sz="4" w:space="0"/>
            </w:tcBorders>
            <w:shd w:val="clear" w:color="auto" w:fill="FFFFFF"/>
            <w:vAlign w:val="center"/>
          </w:tcPr>
          <w:p>
            <w:pPr>
              <w:jc w:val="center"/>
              <w:rPr>
                <w:b/>
                <w:szCs w:val="21"/>
              </w:rPr>
            </w:pPr>
            <w:r>
              <w:rPr>
                <w:b/>
                <w:szCs w:val="21"/>
              </w:rPr>
              <w:t>HT8</w:t>
            </w:r>
          </w:p>
        </w:tc>
        <w:tc>
          <w:tcPr>
            <w:tcW w:w="1885" w:type="dxa"/>
            <w:tcBorders>
              <w:top w:val="single" w:color="auto" w:sz="4" w:space="0"/>
              <w:left w:val="single" w:color="auto" w:sz="4" w:space="0"/>
            </w:tcBorders>
            <w:shd w:val="clear" w:color="auto" w:fill="FFFFFF"/>
            <w:vAlign w:val="center"/>
          </w:tcPr>
          <w:p>
            <w:pPr>
              <w:jc w:val="center"/>
              <w:rPr>
                <w:b/>
                <w:szCs w:val="21"/>
              </w:rPr>
            </w:pPr>
            <w:r>
              <w:rPr>
                <w:b/>
                <w:szCs w:val="21"/>
              </w:rPr>
              <w:t>DB-EUPAH</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b/>
                <w:szCs w:val="21"/>
              </w:rPr>
            </w:pPr>
            <w:r>
              <w:rPr>
                <w:b/>
                <w:szCs w:val="21"/>
              </w:rPr>
              <w:t>ZB-PAH</w:t>
            </w:r>
          </w:p>
        </w:tc>
      </w:tr>
      <w:tr>
        <w:tblPrEx>
          <w:tblLayout w:type="fixed"/>
          <w:tblCellMar>
            <w:top w:w="0" w:type="dxa"/>
            <w:left w:w="57" w:type="dxa"/>
            <w:bottom w:w="0" w:type="dxa"/>
            <w:right w:w="57" w:type="dxa"/>
          </w:tblCellMar>
        </w:tblPrEx>
        <w:tc>
          <w:tcPr>
            <w:tcW w:w="1900" w:type="dxa"/>
            <w:vMerge w:val="restart"/>
            <w:tcBorders>
              <w:top w:val="single" w:color="auto" w:sz="4" w:space="0"/>
              <w:left w:val="single" w:color="auto" w:sz="4" w:space="0"/>
            </w:tcBorders>
            <w:shd w:val="clear" w:color="auto" w:fill="FFFFFF"/>
            <w:vAlign w:val="center"/>
          </w:tcPr>
          <w:p>
            <w:pPr>
              <w:jc w:val="center"/>
              <w:rPr>
                <w:szCs w:val="21"/>
              </w:rPr>
            </w:pPr>
            <w:r>
              <w:rPr>
                <w:szCs w:val="21"/>
              </w:rPr>
              <w:t>规格</w:t>
            </w:r>
          </w:p>
        </w:tc>
        <w:tc>
          <w:tcPr>
            <w:tcW w:w="1889" w:type="dxa"/>
            <w:tcBorders>
              <w:top w:val="single" w:color="auto" w:sz="4" w:space="0"/>
              <w:left w:val="single" w:color="auto" w:sz="4" w:space="0"/>
            </w:tcBorders>
            <w:shd w:val="clear" w:color="auto" w:fill="FFFFFF"/>
            <w:vAlign w:val="center"/>
          </w:tcPr>
          <w:p>
            <w:pPr>
              <w:jc w:val="center"/>
              <w:rPr>
                <w:szCs w:val="21"/>
              </w:rPr>
            </w:pPr>
            <w:r>
              <w:rPr>
                <w:szCs w:val="21"/>
              </w:rPr>
              <w:t>长度30 m；内径</w:t>
            </w:r>
          </w:p>
        </w:tc>
        <w:tc>
          <w:tcPr>
            <w:tcW w:w="1894" w:type="dxa"/>
            <w:tcBorders>
              <w:top w:val="single" w:color="auto" w:sz="4" w:space="0"/>
              <w:left w:val="single" w:color="auto" w:sz="4" w:space="0"/>
            </w:tcBorders>
            <w:shd w:val="clear" w:color="auto" w:fill="FFFFFF"/>
            <w:vAlign w:val="center"/>
          </w:tcPr>
          <w:p>
            <w:pPr>
              <w:jc w:val="center"/>
              <w:rPr>
                <w:szCs w:val="21"/>
              </w:rPr>
            </w:pPr>
            <w:r>
              <w:rPr>
                <w:szCs w:val="21"/>
              </w:rPr>
              <w:t>长度25 m；内径</w:t>
            </w:r>
          </w:p>
        </w:tc>
        <w:tc>
          <w:tcPr>
            <w:tcW w:w="1885" w:type="dxa"/>
            <w:tcBorders>
              <w:top w:val="single" w:color="auto" w:sz="4" w:space="0"/>
              <w:left w:val="single" w:color="auto" w:sz="4" w:space="0"/>
            </w:tcBorders>
            <w:shd w:val="clear" w:color="auto" w:fill="FFFFFF"/>
            <w:vAlign w:val="center"/>
          </w:tcPr>
          <w:p>
            <w:pPr>
              <w:jc w:val="center"/>
              <w:rPr>
                <w:szCs w:val="21"/>
              </w:rPr>
            </w:pPr>
            <w:r>
              <w:rPr>
                <w:szCs w:val="21"/>
              </w:rPr>
              <w:t>长度20 m；内径</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长度20 m；内径</w:t>
            </w:r>
          </w:p>
        </w:tc>
      </w:tr>
      <w:tr>
        <w:tblPrEx>
          <w:tblLayout w:type="fixed"/>
          <w:tblCellMar>
            <w:top w:w="0" w:type="dxa"/>
            <w:left w:w="57" w:type="dxa"/>
            <w:bottom w:w="0" w:type="dxa"/>
            <w:right w:w="57" w:type="dxa"/>
          </w:tblCellMar>
        </w:tblPrEx>
        <w:tc>
          <w:tcPr>
            <w:tcW w:w="1900" w:type="dxa"/>
            <w:vMerge w:val="continue"/>
            <w:tcBorders>
              <w:left w:val="single" w:color="auto" w:sz="4" w:space="0"/>
            </w:tcBorders>
            <w:shd w:val="clear" w:color="auto" w:fill="FFFFFF"/>
            <w:vAlign w:val="center"/>
          </w:tcPr>
          <w:p>
            <w:pPr>
              <w:jc w:val="center"/>
              <w:rPr>
                <w:szCs w:val="21"/>
              </w:rPr>
            </w:pPr>
          </w:p>
        </w:tc>
        <w:tc>
          <w:tcPr>
            <w:tcW w:w="1889" w:type="dxa"/>
            <w:tcBorders>
              <w:left w:val="single" w:color="auto" w:sz="4" w:space="0"/>
            </w:tcBorders>
            <w:shd w:val="clear" w:color="auto" w:fill="FFFFFF"/>
            <w:vAlign w:val="center"/>
          </w:tcPr>
          <w:p>
            <w:pPr>
              <w:jc w:val="center"/>
              <w:rPr>
                <w:szCs w:val="21"/>
              </w:rPr>
            </w:pPr>
            <w:r>
              <w:rPr>
                <w:szCs w:val="21"/>
              </w:rPr>
              <w:t>0</w:t>
            </w:r>
            <w:r>
              <w:rPr>
                <w:rFonts w:hint="eastAsia"/>
                <w:szCs w:val="21"/>
                <w:lang w:val="en-US" w:eastAsia="zh-CN"/>
              </w:rPr>
              <w:t>.</w:t>
            </w:r>
            <w:r>
              <w:rPr>
                <w:szCs w:val="21"/>
              </w:rPr>
              <w:t>25 mm；薄膜厚度</w:t>
            </w:r>
          </w:p>
        </w:tc>
        <w:tc>
          <w:tcPr>
            <w:tcW w:w="1894" w:type="dxa"/>
            <w:tcBorders>
              <w:left w:val="single" w:color="auto" w:sz="4" w:space="0"/>
            </w:tcBorders>
            <w:shd w:val="clear" w:color="auto" w:fill="FFFFFF"/>
            <w:vAlign w:val="center"/>
          </w:tcPr>
          <w:p>
            <w:pPr>
              <w:jc w:val="center"/>
              <w:rPr>
                <w:szCs w:val="21"/>
              </w:rPr>
            </w:pPr>
            <w:r>
              <w:rPr>
                <w:szCs w:val="21"/>
              </w:rPr>
              <w:t>0</w:t>
            </w:r>
            <w:r>
              <w:rPr>
                <w:rFonts w:hint="eastAsia"/>
                <w:szCs w:val="21"/>
                <w:lang w:val="en-US" w:eastAsia="zh-CN"/>
              </w:rPr>
              <w:t>.</w:t>
            </w:r>
            <w:r>
              <w:rPr>
                <w:szCs w:val="21"/>
              </w:rPr>
              <w:t>22 mm；薄膜厚度</w:t>
            </w:r>
          </w:p>
        </w:tc>
        <w:tc>
          <w:tcPr>
            <w:tcW w:w="1885" w:type="dxa"/>
            <w:tcBorders>
              <w:left w:val="single" w:color="auto" w:sz="4" w:space="0"/>
            </w:tcBorders>
            <w:shd w:val="clear" w:color="auto" w:fill="FFFFFF"/>
            <w:vAlign w:val="center"/>
          </w:tcPr>
          <w:p>
            <w:pPr>
              <w:jc w:val="center"/>
              <w:rPr>
                <w:szCs w:val="21"/>
              </w:rPr>
            </w:pPr>
            <w:r>
              <w:rPr>
                <w:szCs w:val="21"/>
              </w:rPr>
              <w:t>0</w:t>
            </w:r>
            <w:r>
              <w:rPr>
                <w:rFonts w:hint="eastAsia"/>
                <w:szCs w:val="21"/>
                <w:lang w:val="en-US" w:eastAsia="zh-CN"/>
              </w:rPr>
              <w:t>.</w:t>
            </w:r>
            <w:r>
              <w:rPr>
                <w:szCs w:val="21"/>
              </w:rPr>
              <w:t>18 mm；薄膜厚度</w:t>
            </w:r>
          </w:p>
        </w:tc>
        <w:tc>
          <w:tcPr>
            <w:tcW w:w="1900" w:type="dxa"/>
            <w:tcBorders>
              <w:left w:val="single" w:color="auto" w:sz="4" w:space="0"/>
              <w:right w:val="single" w:color="auto" w:sz="4" w:space="0"/>
            </w:tcBorders>
            <w:shd w:val="clear" w:color="auto" w:fill="FFFFFF"/>
            <w:vAlign w:val="center"/>
          </w:tcPr>
          <w:p>
            <w:pPr>
              <w:jc w:val="center"/>
              <w:rPr>
                <w:szCs w:val="21"/>
              </w:rPr>
            </w:pPr>
            <w:r>
              <w:rPr>
                <w:szCs w:val="21"/>
              </w:rPr>
              <w:t>0</w:t>
            </w:r>
            <w:r>
              <w:rPr>
                <w:rFonts w:hint="eastAsia"/>
                <w:szCs w:val="21"/>
                <w:lang w:val="en-US" w:eastAsia="zh-CN"/>
              </w:rPr>
              <w:t>.</w:t>
            </w:r>
            <w:r>
              <w:rPr>
                <w:szCs w:val="21"/>
              </w:rPr>
              <w:t>18 mm；薄膜厚度</w:t>
            </w:r>
          </w:p>
        </w:tc>
      </w:tr>
      <w:tr>
        <w:tblPrEx>
          <w:tblLayout w:type="fixed"/>
          <w:tblCellMar>
            <w:top w:w="0" w:type="dxa"/>
            <w:left w:w="57" w:type="dxa"/>
            <w:bottom w:w="0" w:type="dxa"/>
            <w:right w:w="57" w:type="dxa"/>
          </w:tblCellMar>
        </w:tblPrEx>
        <w:tc>
          <w:tcPr>
            <w:tcW w:w="1900" w:type="dxa"/>
            <w:vMerge w:val="continue"/>
            <w:tcBorders>
              <w:left w:val="single" w:color="auto" w:sz="4" w:space="0"/>
            </w:tcBorders>
            <w:shd w:val="clear" w:color="auto" w:fill="FFFFFF"/>
            <w:vAlign w:val="center"/>
          </w:tcPr>
          <w:p>
            <w:pPr>
              <w:jc w:val="center"/>
              <w:rPr>
                <w:szCs w:val="21"/>
              </w:rPr>
            </w:pPr>
          </w:p>
        </w:tc>
        <w:tc>
          <w:tcPr>
            <w:tcW w:w="1889" w:type="dxa"/>
            <w:tcBorders>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 xml:space="preserve">25 </w:t>
            </w:r>
            <w:r>
              <w:rPr>
                <w:rFonts w:hint="default" w:ascii="Times New Roman" w:hAnsi="Times New Roman" w:cs="Times New Roman"/>
                <w:szCs w:val="21"/>
              </w:rPr>
              <w:t>μ</w:t>
            </w:r>
            <w:r>
              <w:rPr>
                <w:szCs w:val="21"/>
              </w:rPr>
              <w:t>m</w:t>
            </w:r>
          </w:p>
        </w:tc>
        <w:tc>
          <w:tcPr>
            <w:tcW w:w="1894" w:type="dxa"/>
            <w:tcBorders>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 xml:space="preserve">25 </w:t>
            </w:r>
            <w:r>
              <w:rPr>
                <w:rFonts w:hint="default" w:ascii="Times New Roman" w:hAnsi="Times New Roman" w:cs="Times New Roman"/>
                <w:szCs w:val="21"/>
              </w:rPr>
              <w:t>μ</w:t>
            </w:r>
            <w:r>
              <w:rPr>
                <w:szCs w:val="21"/>
              </w:rPr>
              <w:t>m</w:t>
            </w:r>
          </w:p>
        </w:tc>
        <w:tc>
          <w:tcPr>
            <w:tcW w:w="1885" w:type="dxa"/>
            <w:tcBorders>
              <w:lef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 xml:space="preserve">14 </w:t>
            </w:r>
            <w:r>
              <w:rPr>
                <w:rFonts w:hint="default" w:ascii="Times New Roman" w:hAnsi="Times New Roman" w:cs="Times New Roman"/>
                <w:szCs w:val="21"/>
              </w:rPr>
              <w:t>μ</w:t>
            </w:r>
            <w:r>
              <w:rPr>
                <w:szCs w:val="21"/>
              </w:rPr>
              <w:t>m</w:t>
            </w:r>
          </w:p>
        </w:tc>
        <w:tc>
          <w:tcPr>
            <w:tcW w:w="1900" w:type="dxa"/>
            <w:tcBorders>
              <w:left w:val="single" w:color="auto" w:sz="4" w:space="0"/>
              <w:right w:val="single" w:color="auto" w:sz="4" w:space="0"/>
            </w:tcBorders>
            <w:shd w:val="clear" w:color="auto" w:fill="FFFFFF"/>
            <w:vAlign w:val="center"/>
          </w:tcPr>
          <w:p>
            <w:pPr>
              <w:jc w:val="center"/>
              <w:rPr>
                <w:szCs w:val="21"/>
              </w:rPr>
            </w:pPr>
            <w:r>
              <w:rPr>
                <w:szCs w:val="21"/>
              </w:rPr>
              <w:t>0</w:t>
            </w:r>
            <w:r>
              <w:rPr>
                <w:rFonts w:hint="eastAsia"/>
                <w:szCs w:val="21"/>
                <w:lang w:eastAsia="zh-CN"/>
              </w:rPr>
              <w:t>.</w:t>
            </w:r>
            <w:r>
              <w:rPr>
                <w:szCs w:val="21"/>
              </w:rPr>
              <w:t xml:space="preserve">14 </w:t>
            </w:r>
            <w:r>
              <w:rPr>
                <w:rFonts w:hint="default" w:ascii="Times New Roman" w:hAnsi="Times New Roman" w:cs="Times New Roman"/>
                <w:szCs w:val="21"/>
              </w:rPr>
              <w:t>μ</w:t>
            </w:r>
            <w:r>
              <w:rPr>
                <w:szCs w:val="21"/>
              </w:rPr>
              <w:t>m</w:t>
            </w:r>
          </w:p>
        </w:tc>
      </w:tr>
      <w:tr>
        <w:tblPrEx>
          <w:tblLayout w:type="fixed"/>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szCs w:val="21"/>
              </w:rPr>
            </w:pPr>
            <w:r>
              <w:rPr>
                <w:szCs w:val="21"/>
              </w:rPr>
              <w:t>进样量</w:t>
            </w:r>
          </w:p>
        </w:tc>
        <w:tc>
          <w:tcPr>
            <w:tcW w:w="1889" w:type="dxa"/>
            <w:tcBorders>
              <w:top w:val="single" w:color="auto" w:sz="4" w:space="0"/>
              <w:left w:val="single" w:color="auto" w:sz="4" w:space="0"/>
            </w:tcBorders>
            <w:shd w:val="clear" w:color="auto" w:fill="FFFFFF"/>
            <w:vAlign w:val="center"/>
          </w:tcPr>
          <w:p>
            <w:pPr>
              <w:jc w:val="center"/>
              <w:rPr>
                <w:rFonts w:hint="eastAsia" w:eastAsia="宋体"/>
                <w:szCs w:val="21"/>
                <w:lang w:eastAsia="zh-CN"/>
              </w:rPr>
            </w:pPr>
            <w:r>
              <w:rPr>
                <w:szCs w:val="21"/>
              </w:rPr>
              <w:t>1</w:t>
            </w:r>
            <w:r>
              <w:rPr>
                <w:rFonts w:hint="eastAsia"/>
                <w:szCs w:val="21"/>
                <w:lang w:eastAsia="zh-CN"/>
              </w:rPr>
              <w:t>.</w:t>
            </w:r>
            <w:r>
              <w:rPr>
                <w:szCs w:val="21"/>
              </w:rPr>
              <w:t>0μ</w:t>
            </w:r>
            <w:r>
              <w:rPr>
                <w:rFonts w:hint="eastAsia"/>
                <w:szCs w:val="21"/>
                <w:lang w:eastAsia="zh-CN"/>
              </w:rPr>
              <w:t>L</w:t>
            </w:r>
          </w:p>
        </w:tc>
        <w:tc>
          <w:tcPr>
            <w:tcW w:w="1894" w:type="dxa"/>
            <w:tcBorders>
              <w:top w:val="single" w:color="auto" w:sz="4" w:space="0"/>
              <w:left w:val="single" w:color="auto" w:sz="4" w:space="0"/>
            </w:tcBorders>
            <w:shd w:val="clear" w:color="auto" w:fill="FFFFFF"/>
            <w:vAlign w:val="center"/>
          </w:tcPr>
          <w:p>
            <w:pPr>
              <w:jc w:val="center"/>
              <w:rPr>
                <w:rFonts w:hint="eastAsia" w:eastAsia="宋体"/>
                <w:szCs w:val="21"/>
                <w:lang w:eastAsia="zh-CN"/>
              </w:rPr>
            </w:pPr>
            <w:r>
              <w:rPr>
                <w:szCs w:val="21"/>
              </w:rPr>
              <w:t>1</w:t>
            </w:r>
            <w:r>
              <w:rPr>
                <w:rFonts w:hint="eastAsia"/>
                <w:szCs w:val="21"/>
                <w:lang w:eastAsia="zh-CN"/>
              </w:rPr>
              <w:t>.</w:t>
            </w:r>
            <w:r>
              <w:rPr>
                <w:szCs w:val="21"/>
              </w:rPr>
              <w:t>0μ</w:t>
            </w:r>
            <w:r>
              <w:rPr>
                <w:rFonts w:hint="eastAsia"/>
                <w:szCs w:val="21"/>
                <w:lang w:eastAsia="zh-CN"/>
              </w:rPr>
              <w:t>L</w:t>
            </w:r>
          </w:p>
        </w:tc>
        <w:tc>
          <w:tcPr>
            <w:tcW w:w="1885" w:type="dxa"/>
            <w:tcBorders>
              <w:top w:val="single" w:color="auto" w:sz="4" w:space="0"/>
              <w:left w:val="single" w:color="auto" w:sz="4" w:space="0"/>
            </w:tcBorders>
            <w:shd w:val="clear" w:color="auto" w:fill="FFFFFF"/>
            <w:vAlign w:val="center"/>
          </w:tcPr>
          <w:p>
            <w:pPr>
              <w:jc w:val="center"/>
              <w:rPr>
                <w:rFonts w:hint="eastAsia" w:eastAsia="宋体"/>
                <w:szCs w:val="21"/>
                <w:lang w:eastAsia="zh-CN"/>
              </w:rPr>
            </w:pPr>
            <w:r>
              <w:rPr>
                <w:szCs w:val="21"/>
              </w:rPr>
              <w:t>1</w:t>
            </w:r>
            <w:r>
              <w:rPr>
                <w:rFonts w:hint="eastAsia"/>
                <w:szCs w:val="21"/>
                <w:lang w:eastAsia="zh-CN"/>
              </w:rPr>
              <w:t>.</w:t>
            </w:r>
            <w:r>
              <w:rPr>
                <w:szCs w:val="21"/>
              </w:rPr>
              <w:t>0μ</w:t>
            </w:r>
            <w:r>
              <w:rPr>
                <w:rFonts w:hint="eastAsia"/>
                <w:szCs w:val="21"/>
                <w:lang w:eastAsia="zh-CN"/>
              </w:rPr>
              <w:t>L</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rFonts w:hint="eastAsia" w:eastAsia="宋体"/>
                <w:szCs w:val="21"/>
                <w:lang w:eastAsia="zh-CN"/>
              </w:rPr>
            </w:pPr>
            <w:r>
              <w:rPr>
                <w:szCs w:val="21"/>
              </w:rPr>
              <w:t>1</w:t>
            </w:r>
            <w:r>
              <w:rPr>
                <w:rFonts w:hint="eastAsia"/>
                <w:szCs w:val="21"/>
                <w:lang w:eastAsia="zh-CN"/>
              </w:rPr>
              <w:t>.</w:t>
            </w:r>
            <w:r>
              <w:rPr>
                <w:szCs w:val="21"/>
              </w:rPr>
              <w:t>0μ</w:t>
            </w:r>
            <w:r>
              <w:rPr>
                <w:rFonts w:hint="eastAsia"/>
                <w:szCs w:val="21"/>
                <w:lang w:eastAsia="zh-CN"/>
              </w:rPr>
              <w:t>L</w:t>
            </w:r>
          </w:p>
        </w:tc>
      </w:tr>
      <w:tr>
        <w:tblPrEx>
          <w:tblLayout w:type="fixed"/>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szCs w:val="21"/>
              </w:rPr>
            </w:pPr>
            <w:r>
              <w:rPr>
                <w:szCs w:val="21"/>
              </w:rPr>
              <w:t>进样</w:t>
            </w:r>
            <w:r>
              <w:rPr>
                <w:rFonts w:hint="eastAsia"/>
                <w:szCs w:val="21"/>
                <w:lang w:val="en-US" w:eastAsia="zh-CN"/>
              </w:rPr>
              <w:t>口</w:t>
            </w:r>
            <w:r>
              <w:rPr>
                <w:szCs w:val="21"/>
              </w:rPr>
              <w:t>温度</w:t>
            </w:r>
          </w:p>
        </w:tc>
        <w:tc>
          <w:tcPr>
            <w:tcW w:w="1889" w:type="dxa"/>
            <w:tcBorders>
              <w:top w:val="single" w:color="auto" w:sz="4" w:space="0"/>
              <w:left w:val="single" w:color="auto" w:sz="4" w:space="0"/>
            </w:tcBorders>
            <w:shd w:val="clear" w:color="auto" w:fill="FFFFFF"/>
            <w:vAlign w:val="center"/>
          </w:tcPr>
          <w:p>
            <w:pPr>
              <w:jc w:val="center"/>
              <w:rPr>
                <w:szCs w:val="21"/>
              </w:rPr>
            </w:pPr>
            <w:r>
              <w:rPr>
                <w:szCs w:val="21"/>
              </w:rPr>
              <w:t>280 °C</w:t>
            </w:r>
          </w:p>
        </w:tc>
        <w:tc>
          <w:tcPr>
            <w:tcW w:w="1894" w:type="dxa"/>
            <w:tcBorders>
              <w:top w:val="single" w:color="auto" w:sz="4" w:space="0"/>
              <w:left w:val="single" w:color="auto" w:sz="4" w:space="0"/>
            </w:tcBorders>
            <w:shd w:val="clear" w:color="auto" w:fill="FFFFFF"/>
            <w:vAlign w:val="center"/>
          </w:tcPr>
          <w:p>
            <w:pPr>
              <w:jc w:val="center"/>
              <w:rPr>
                <w:szCs w:val="21"/>
              </w:rPr>
            </w:pPr>
            <w:r>
              <w:rPr>
                <w:szCs w:val="21"/>
              </w:rPr>
              <w:t>280</w:t>
            </w:r>
            <w:r>
              <w:rPr>
                <w:rFonts w:hint="eastAsia"/>
                <w:szCs w:val="21"/>
                <w:lang w:val="en-US" w:eastAsia="zh-CN"/>
              </w:rPr>
              <w:t xml:space="preserve"> </w:t>
            </w:r>
            <w:r>
              <w:rPr>
                <w:szCs w:val="21"/>
              </w:rPr>
              <w:t>°C</w:t>
            </w:r>
          </w:p>
        </w:tc>
        <w:tc>
          <w:tcPr>
            <w:tcW w:w="1885" w:type="dxa"/>
            <w:tcBorders>
              <w:top w:val="single" w:color="auto" w:sz="4" w:space="0"/>
              <w:left w:val="single" w:color="auto" w:sz="4" w:space="0"/>
            </w:tcBorders>
            <w:shd w:val="clear" w:color="auto" w:fill="FFFFFF"/>
            <w:vAlign w:val="center"/>
          </w:tcPr>
          <w:p>
            <w:pPr>
              <w:jc w:val="center"/>
              <w:rPr>
                <w:szCs w:val="21"/>
              </w:rPr>
            </w:pPr>
            <w:r>
              <w:rPr>
                <w:szCs w:val="21"/>
              </w:rPr>
              <w:t>280 °C</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290 °C</w:t>
            </w:r>
          </w:p>
        </w:tc>
      </w:tr>
      <w:tr>
        <w:tblPrEx>
          <w:tblLayout w:type="fixed"/>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szCs w:val="21"/>
              </w:rPr>
            </w:pPr>
            <w:r>
              <w:rPr>
                <w:szCs w:val="21"/>
              </w:rPr>
              <w:t>进样方式</w:t>
            </w:r>
          </w:p>
        </w:tc>
        <w:tc>
          <w:tcPr>
            <w:tcW w:w="1889" w:type="dxa"/>
            <w:tcBorders>
              <w:top w:val="single" w:color="auto" w:sz="4" w:space="0"/>
              <w:left w:val="single" w:color="auto" w:sz="4" w:space="0"/>
            </w:tcBorders>
            <w:shd w:val="clear" w:color="auto" w:fill="FFFFFF"/>
            <w:vAlign w:val="center"/>
          </w:tcPr>
          <w:p>
            <w:pPr>
              <w:jc w:val="center"/>
              <w:rPr>
                <w:szCs w:val="21"/>
              </w:rPr>
            </w:pPr>
            <w:r>
              <w:rPr>
                <w:szCs w:val="21"/>
              </w:rPr>
              <w:t>不分流</w:t>
            </w:r>
          </w:p>
        </w:tc>
        <w:tc>
          <w:tcPr>
            <w:tcW w:w="1894" w:type="dxa"/>
            <w:tcBorders>
              <w:top w:val="single" w:color="auto" w:sz="4" w:space="0"/>
              <w:left w:val="single" w:color="auto" w:sz="4" w:space="0"/>
            </w:tcBorders>
            <w:shd w:val="clear" w:color="auto" w:fill="FFFFFF"/>
            <w:vAlign w:val="center"/>
          </w:tcPr>
          <w:p>
            <w:pPr>
              <w:jc w:val="center"/>
              <w:rPr>
                <w:szCs w:val="21"/>
              </w:rPr>
            </w:pPr>
            <w:r>
              <w:rPr>
                <w:szCs w:val="21"/>
              </w:rPr>
              <w:t>不分流</w:t>
            </w:r>
          </w:p>
        </w:tc>
        <w:tc>
          <w:tcPr>
            <w:tcW w:w="1885" w:type="dxa"/>
            <w:tcBorders>
              <w:top w:val="single" w:color="auto" w:sz="4" w:space="0"/>
              <w:left w:val="single" w:color="auto" w:sz="4" w:space="0"/>
            </w:tcBorders>
            <w:shd w:val="clear" w:color="auto" w:fill="FFFFFF"/>
            <w:vAlign w:val="center"/>
          </w:tcPr>
          <w:p>
            <w:pPr>
              <w:jc w:val="center"/>
              <w:rPr>
                <w:szCs w:val="21"/>
              </w:rPr>
            </w:pPr>
            <w:r>
              <w:rPr>
                <w:szCs w:val="21"/>
              </w:rPr>
              <w:t>不分流</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不分流</w:t>
            </w:r>
          </w:p>
        </w:tc>
      </w:tr>
      <w:tr>
        <w:tblPrEx>
          <w:tblLayout w:type="fixed"/>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szCs w:val="21"/>
              </w:rPr>
            </w:pPr>
            <w:r>
              <w:rPr>
                <w:rFonts w:hint="eastAsia"/>
                <w:szCs w:val="21"/>
                <w:lang w:val="en-US" w:eastAsia="zh-CN"/>
              </w:rPr>
              <w:t>进样口</w:t>
            </w:r>
            <w:r>
              <w:rPr>
                <w:szCs w:val="21"/>
              </w:rPr>
              <w:t>衬管</w:t>
            </w:r>
          </w:p>
        </w:tc>
        <w:tc>
          <w:tcPr>
            <w:tcW w:w="1889" w:type="dxa"/>
            <w:tcBorders>
              <w:top w:val="single" w:color="auto" w:sz="4" w:space="0"/>
              <w:left w:val="single" w:color="auto" w:sz="4" w:space="0"/>
            </w:tcBorders>
            <w:shd w:val="clear" w:color="auto" w:fill="FFFFFF"/>
            <w:vAlign w:val="center"/>
          </w:tcPr>
          <w:p>
            <w:pPr>
              <w:jc w:val="center"/>
              <w:rPr>
                <w:szCs w:val="21"/>
              </w:rPr>
            </w:pPr>
            <w:r>
              <w:rPr>
                <w:szCs w:val="21"/>
              </w:rPr>
              <w:t>分流式/不分流式衬管</w:t>
            </w:r>
          </w:p>
        </w:tc>
        <w:tc>
          <w:tcPr>
            <w:tcW w:w="1894" w:type="dxa"/>
            <w:tcBorders>
              <w:top w:val="single" w:color="auto" w:sz="4" w:space="0"/>
              <w:left w:val="single" w:color="auto" w:sz="4" w:space="0"/>
            </w:tcBorders>
            <w:shd w:val="clear" w:color="auto" w:fill="FFFFFF"/>
            <w:vAlign w:val="center"/>
          </w:tcPr>
          <w:p>
            <w:pPr>
              <w:jc w:val="center"/>
              <w:rPr>
                <w:szCs w:val="21"/>
              </w:rPr>
            </w:pPr>
            <w:r>
              <w:rPr>
                <w:szCs w:val="21"/>
              </w:rPr>
              <w:t>分流式/不分流式衬管</w:t>
            </w:r>
          </w:p>
        </w:tc>
        <w:tc>
          <w:tcPr>
            <w:tcW w:w="1885" w:type="dxa"/>
            <w:tcBorders>
              <w:top w:val="single" w:color="auto" w:sz="4" w:space="0"/>
              <w:left w:val="single" w:color="auto" w:sz="4" w:space="0"/>
            </w:tcBorders>
            <w:shd w:val="clear" w:color="auto" w:fill="FFFFFF"/>
            <w:vAlign w:val="center"/>
          </w:tcPr>
          <w:p>
            <w:pPr>
              <w:jc w:val="center"/>
              <w:rPr>
                <w:szCs w:val="21"/>
              </w:rPr>
            </w:pPr>
            <w:r>
              <w:rPr>
                <w:szCs w:val="21"/>
              </w:rPr>
              <w:t>分流式/不分流式衬管</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分流式/不分流式衬管</w:t>
            </w:r>
          </w:p>
        </w:tc>
      </w:tr>
      <w:tr>
        <w:tblPrEx>
          <w:tblLayout w:type="fixed"/>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szCs w:val="21"/>
              </w:rPr>
            </w:pPr>
            <w:r>
              <w:rPr>
                <w:szCs w:val="21"/>
              </w:rPr>
              <w:t>载气</w:t>
            </w:r>
          </w:p>
        </w:tc>
        <w:tc>
          <w:tcPr>
            <w:tcW w:w="1889" w:type="dxa"/>
            <w:tcBorders>
              <w:top w:val="single" w:color="auto" w:sz="4" w:space="0"/>
              <w:left w:val="single" w:color="auto" w:sz="4" w:space="0"/>
            </w:tcBorders>
            <w:shd w:val="clear" w:color="auto" w:fill="FFFFFF"/>
            <w:vAlign w:val="center"/>
          </w:tcPr>
          <w:p>
            <w:pPr>
              <w:jc w:val="center"/>
              <w:rPr>
                <w:szCs w:val="21"/>
              </w:rPr>
            </w:pPr>
            <w:r>
              <w:rPr>
                <w:szCs w:val="21"/>
              </w:rPr>
              <w:t>氦气</w:t>
            </w:r>
          </w:p>
        </w:tc>
        <w:tc>
          <w:tcPr>
            <w:tcW w:w="1894" w:type="dxa"/>
            <w:tcBorders>
              <w:top w:val="single" w:color="auto" w:sz="4" w:space="0"/>
              <w:left w:val="single" w:color="auto" w:sz="4" w:space="0"/>
            </w:tcBorders>
            <w:shd w:val="clear" w:color="auto" w:fill="FFFFFF"/>
            <w:vAlign w:val="center"/>
          </w:tcPr>
          <w:p>
            <w:pPr>
              <w:jc w:val="center"/>
              <w:rPr>
                <w:szCs w:val="21"/>
              </w:rPr>
            </w:pPr>
            <w:r>
              <w:rPr>
                <w:szCs w:val="21"/>
              </w:rPr>
              <w:t>氦气</w:t>
            </w:r>
          </w:p>
        </w:tc>
        <w:tc>
          <w:tcPr>
            <w:tcW w:w="1885" w:type="dxa"/>
            <w:tcBorders>
              <w:top w:val="single" w:color="auto" w:sz="4" w:space="0"/>
              <w:left w:val="single" w:color="auto" w:sz="4" w:space="0"/>
            </w:tcBorders>
            <w:shd w:val="clear" w:color="auto" w:fill="FFFFFF"/>
            <w:vAlign w:val="center"/>
          </w:tcPr>
          <w:p>
            <w:pPr>
              <w:jc w:val="center"/>
              <w:rPr>
                <w:szCs w:val="21"/>
              </w:rPr>
            </w:pPr>
            <w:r>
              <w:rPr>
                <w:szCs w:val="21"/>
              </w:rPr>
              <w:t>氦气</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氦气</w:t>
            </w:r>
          </w:p>
        </w:tc>
      </w:tr>
      <w:tr>
        <w:tblPrEx>
          <w:tblLayout w:type="fixed"/>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szCs w:val="21"/>
              </w:rPr>
            </w:pPr>
            <w:r>
              <w:rPr>
                <w:szCs w:val="21"/>
              </w:rPr>
              <w:t>气体流量</w:t>
            </w:r>
          </w:p>
        </w:tc>
        <w:tc>
          <w:tcPr>
            <w:tcW w:w="1889"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val="en-US" w:eastAsia="zh-CN"/>
              </w:rPr>
              <w:t>.</w:t>
            </w:r>
            <w:r>
              <w:rPr>
                <w:szCs w:val="21"/>
              </w:rPr>
              <w:t>0 m</w:t>
            </w:r>
            <w:r>
              <w:rPr>
                <w:rFonts w:hint="eastAsia"/>
                <w:szCs w:val="21"/>
                <w:lang w:eastAsia="zh-CN"/>
              </w:rPr>
              <w:t>L</w:t>
            </w:r>
            <w:r>
              <w:rPr>
                <w:szCs w:val="21"/>
              </w:rPr>
              <w:t>/min（恒流）</w:t>
            </w:r>
          </w:p>
        </w:tc>
        <w:tc>
          <w:tcPr>
            <w:tcW w:w="1894"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val="en-US" w:eastAsia="zh-CN"/>
              </w:rPr>
              <w:t>.</w:t>
            </w:r>
            <w:r>
              <w:rPr>
                <w:szCs w:val="21"/>
              </w:rPr>
              <w:t>0 m</w:t>
            </w:r>
            <w:r>
              <w:rPr>
                <w:rFonts w:hint="eastAsia"/>
                <w:szCs w:val="21"/>
                <w:lang w:eastAsia="zh-CN"/>
              </w:rPr>
              <w:t>L</w:t>
            </w:r>
            <w:r>
              <w:rPr>
                <w:szCs w:val="21"/>
              </w:rPr>
              <w:t>/min（恒流）</w:t>
            </w:r>
          </w:p>
        </w:tc>
        <w:tc>
          <w:tcPr>
            <w:tcW w:w="1885" w:type="dxa"/>
            <w:tcBorders>
              <w:top w:val="single" w:color="auto" w:sz="4" w:space="0"/>
              <w:left w:val="single" w:color="auto" w:sz="4" w:space="0"/>
            </w:tcBorders>
            <w:shd w:val="clear" w:color="auto" w:fill="FFFFFF"/>
            <w:vAlign w:val="center"/>
          </w:tcPr>
          <w:p>
            <w:pPr>
              <w:jc w:val="center"/>
              <w:rPr>
                <w:szCs w:val="21"/>
              </w:rPr>
            </w:pPr>
            <w:r>
              <w:rPr>
                <w:szCs w:val="21"/>
              </w:rPr>
              <w:t>1</w:t>
            </w:r>
            <w:r>
              <w:rPr>
                <w:rFonts w:hint="eastAsia"/>
                <w:szCs w:val="21"/>
                <w:lang w:val="en-US" w:eastAsia="zh-CN"/>
              </w:rPr>
              <w:t>.</w:t>
            </w:r>
            <w:r>
              <w:rPr>
                <w:szCs w:val="21"/>
              </w:rPr>
              <w:t>0 m</w:t>
            </w:r>
            <w:r>
              <w:rPr>
                <w:rFonts w:hint="eastAsia"/>
                <w:szCs w:val="21"/>
                <w:lang w:eastAsia="zh-CN"/>
              </w:rPr>
              <w:t>L</w:t>
            </w:r>
            <w:r>
              <w:rPr>
                <w:szCs w:val="21"/>
              </w:rPr>
              <w:t>/min（恒流）</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1</w:t>
            </w:r>
            <w:r>
              <w:rPr>
                <w:rFonts w:hint="eastAsia"/>
                <w:szCs w:val="21"/>
                <w:lang w:val="en-US" w:eastAsia="zh-CN"/>
              </w:rPr>
              <w:t>.</w:t>
            </w:r>
            <w:r>
              <w:rPr>
                <w:szCs w:val="21"/>
              </w:rPr>
              <w:t>0 m</w:t>
            </w:r>
            <w:r>
              <w:rPr>
                <w:rFonts w:hint="eastAsia"/>
                <w:szCs w:val="21"/>
                <w:lang w:eastAsia="zh-CN"/>
              </w:rPr>
              <w:t>L</w:t>
            </w:r>
            <w:r>
              <w:rPr>
                <w:szCs w:val="21"/>
              </w:rPr>
              <w:t>/min（恒流）</w:t>
            </w:r>
          </w:p>
        </w:tc>
      </w:tr>
      <w:tr>
        <w:tblPrEx>
          <w:tblLayout w:type="fixed"/>
          <w:tblCellMar>
            <w:top w:w="0" w:type="dxa"/>
            <w:left w:w="57" w:type="dxa"/>
            <w:bottom w:w="0" w:type="dxa"/>
            <w:right w:w="57" w:type="dxa"/>
          </w:tblCellMar>
        </w:tblPrEx>
        <w:tc>
          <w:tcPr>
            <w:tcW w:w="1900" w:type="dxa"/>
            <w:vMerge w:val="restart"/>
            <w:tcBorders>
              <w:top w:val="single" w:color="auto" w:sz="4" w:space="0"/>
              <w:left w:val="single" w:color="auto" w:sz="4" w:space="0"/>
            </w:tcBorders>
            <w:shd w:val="clear" w:color="auto" w:fill="FFFFFF"/>
            <w:vAlign w:val="center"/>
          </w:tcPr>
          <w:p>
            <w:pPr>
              <w:jc w:val="center"/>
              <w:rPr>
                <w:szCs w:val="21"/>
              </w:rPr>
            </w:pPr>
            <w:r>
              <w:rPr>
                <w:rFonts w:hint="eastAsia"/>
                <w:szCs w:val="21"/>
                <w:lang w:val="en-US" w:eastAsia="zh-CN"/>
              </w:rPr>
              <w:t>柱温</w:t>
            </w:r>
            <w:r>
              <w:rPr>
                <w:szCs w:val="21"/>
              </w:rPr>
              <w:t>箱</w:t>
            </w:r>
          </w:p>
        </w:tc>
        <w:tc>
          <w:tcPr>
            <w:tcW w:w="1889" w:type="dxa"/>
            <w:tcBorders>
              <w:top w:val="single" w:color="auto" w:sz="4" w:space="0"/>
              <w:left w:val="single" w:color="auto" w:sz="4" w:space="0"/>
            </w:tcBorders>
            <w:shd w:val="clear" w:color="auto" w:fill="FFFFFF"/>
            <w:vAlign w:val="center"/>
          </w:tcPr>
          <w:p>
            <w:pPr>
              <w:jc w:val="center"/>
              <w:rPr>
                <w:szCs w:val="21"/>
              </w:rPr>
            </w:pPr>
            <w:r>
              <w:rPr>
                <w:szCs w:val="21"/>
              </w:rPr>
              <w:t>初始温度（60 °C，持续2分钟）</w:t>
            </w:r>
          </w:p>
        </w:tc>
        <w:tc>
          <w:tcPr>
            <w:tcW w:w="1894" w:type="dxa"/>
            <w:tcBorders>
              <w:top w:val="single" w:color="auto" w:sz="4" w:space="0"/>
              <w:left w:val="single" w:color="auto" w:sz="4" w:space="0"/>
            </w:tcBorders>
            <w:shd w:val="clear" w:color="auto" w:fill="FFFFFF"/>
            <w:vAlign w:val="center"/>
          </w:tcPr>
          <w:p>
            <w:pPr>
              <w:jc w:val="center"/>
              <w:rPr>
                <w:szCs w:val="21"/>
              </w:rPr>
            </w:pPr>
            <w:r>
              <w:rPr>
                <w:szCs w:val="21"/>
              </w:rPr>
              <w:t>初始温度（60 °C，持续2分钟）</w:t>
            </w:r>
          </w:p>
        </w:tc>
        <w:tc>
          <w:tcPr>
            <w:tcW w:w="1885" w:type="dxa"/>
            <w:tcBorders>
              <w:top w:val="single" w:color="auto" w:sz="4" w:space="0"/>
              <w:left w:val="single" w:color="auto" w:sz="4" w:space="0"/>
            </w:tcBorders>
            <w:shd w:val="clear" w:color="auto" w:fill="FFFFFF"/>
            <w:vAlign w:val="center"/>
          </w:tcPr>
          <w:p>
            <w:pPr>
              <w:jc w:val="center"/>
              <w:rPr>
                <w:szCs w:val="21"/>
              </w:rPr>
            </w:pPr>
            <w:r>
              <w:rPr>
                <w:szCs w:val="21"/>
              </w:rPr>
              <w:t>初始温度（50 °C，持续1分钟）</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初始温度（120 °C，持续1分钟）</w:t>
            </w:r>
          </w:p>
        </w:tc>
      </w:tr>
      <w:tr>
        <w:tblPrEx>
          <w:tblLayout w:type="fixed"/>
          <w:tblCellMar>
            <w:top w:w="0" w:type="dxa"/>
            <w:left w:w="57" w:type="dxa"/>
            <w:bottom w:w="0" w:type="dxa"/>
            <w:right w:w="57" w:type="dxa"/>
          </w:tblCellMar>
        </w:tblPrEx>
        <w:tc>
          <w:tcPr>
            <w:tcW w:w="1900" w:type="dxa"/>
            <w:vMerge w:val="continue"/>
            <w:tcBorders>
              <w:left w:val="single" w:color="auto" w:sz="4" w:space="0"/>
            </w:tcBorders>
            <w:shd w:val="clear" w:color="auto" w:fill="FFFFFF"/>
            <w:vAlign w:val="center"/>
          </w:tcPr>
          <w:p>
            <w:pPr>
              <w:jc w:val="center"/>
              <w:rPr>
                <w:szCs w:val="21"/>
              </w:rPr>
            </w:pPr>
          </w:p>
        </w:tc>
        <w:tc>
          <w:tcPr>
            <w:tcW w:w="1889" w:type="dxa"/>
            <w:tcBorders>
              <w:left w:val="single" w:color="auto" w:sz="4" w:space="0"/>
            </w:tcBorders>
            <w:shd w:val="clear" w:color="auto" w:fill="FFFFFF"/>
            <w:vAlign w:val="center"/>
          </w:tcPr>
          <w:p>
            <w:pPr>
              <w:jc w:val="center"/>
              <w:rPr>
                <w:szCs w:val="21"/>
              </w:rPr>
            </w:pPr>
            <w:r>
              <w:rPr>
                <w:szCs w:val="21"/>
              </w:rPr>
              <w:t>升温1：以10 °C/min升温至200 °C，持续0分钟</w:t>
            </w:r>
          </w:p>
        </w:tc>
        <w:tc>
          <w:tcPr>
            <w:tcW w:w="1894" w:type="dxa"/>
            <w:tcBorders>
              <w:left w:val="single" w:color="auto" w:sz="4" w:space="0"/>
            </w:tcBorders>
            <w:shd w:val="clear" w:color="auto" w:fill="FFFFFF"/>
            <w:vAlign w:val="center"/>
          </w:tcPr>
          <w:p>
            <w:pPr>
              <w:jc w:val="center"/>
              <w:rPr>
                <w:szCs w:val="21"/>
              </w:rPr>
            </w:pPr>
            <w:r>
              <w:rPr>
                <w:szCs w:val="21"/>
              </w:rPr>
              <w:t>升温1：以10 °C/min升温至200 °C，持续0分钟</w:t>
            </w:r>
          </w:p>
        </w:tc>
        <w:tc>
          <w:tcPr>
            <w:tcW w:w="1885" w:type="dxa"/>
            <w:tcBorders>
              <w:left w:val="single" w:color="auto" w:sz="4" w:space="0"/>
            </w:tcBorders>
            <w:shd w:val="clear" w:color="auto" w:fill="FFFFFF"/>
            <w:vAlign w:val="center"/>
          </w:tcPr>
          <w:p>
            <w:pPr>
              <w:jc w:val="center"/>
              <w:rPr>
                <w:szCs w:val="21"/>
              </w:rPr>
            </w:pPr>
            <w:r>
              <w:rPr>
                <w:szCs w:val="21"/>
              </w:rPr>
              <w:t>升温1：以10 °C/min升温至200 °C，持续0分钟</w:t>
            </w:r>
          </w:p>
        </w:tc>
        <w:tc>
          <w:tcPr>
            <w:tcW w:w="1900" w:type="dxa"/>
            <w:tcBorders>
              <w:left w:val="single" w:color="auto" w:sz="4" w:space="0"/>
              <w:right w:val="single" w:color="auto" w:sz="4" w:space="0"/>
            </w:tcBorders>
            <w:shd w:val="clear" w:color="auto" w:fill="FFFFFF"/>
            <w:vAlign w:val="center"/>
          </w:tcPr>
          <w:p>
            <w:pPr>
              <w:jc w:val="center"/>
              <w:rPr>
                <w:szCs w:val="21"/>
              </w:rPr>
            </w:pPr>
            <w:r>
              <w:rPr>
                <w:szCs w:val="21"/>
              </w:rPr>
              <w:t>升温1：以10 °C/min升温至200 °C，持续8分钟</w:t>
            </w:r>
          </w:p>
        </w:tc>
      </w:tr>
      <w:tr>
        <w:tblPrEx>
          <w:tblLayout w:type="fixed"/>
          <w:tblCellMar>
            <w:top w:w="0" w:type="dxa"/>
            <w:left w:w="57" w:type="dxa"/>
            <w:bottom w:w="0" w:type="dxa"/>
            <w:right w:w="57" w:type="dxa"/>
          </w:tblCellMar>
        </w:tblPrEx>
        <w:tc>
          <w:tcPr>
            <w:tcW w:w="1900" w:type="dxa"/>
            <w:vMerge w:val="continue"/>
            <w:tcBorders>
              <w:left w:val="single" w:color="auto" w:sz="4" w:space="0"/>
            </w:tcBorders>
            <w:shd w:val="clear" w:color="auto" w:fill="FFFFFF"/>
            <w:vAlign w:val="center"/>
          </w:tcPr>
          <w:p>
            <w:pPr>
              <w:jc w:val="center"/>
              <w:rPr>
                <w:szCs w:val="21"/>
              </w:rPr>
            </w:pPr>
          </w:p>
        </w:tc>
        <w:tc>
          <w:tcPr>
            <w:tcW w:w="1889" w:type="dxa"/>
            <w:tcBorders>
              <w:left w:val="single" w:color="auto" w:sz="4" w:space="0"/>
            </w:tcBorders>
            <w:shd w:val="clear" w:color="auto" w:fill="FFFFFF"/>
            <w:vAlign w:val="center"/>
          </w:tcPr>
          <w:p>
            <w:pPr>
              <w:jc w:val="center"/>
              <w:rPr>
                <w:szCs w:val="21"/>
              </w:rPr>
            </w:pPr>
            <w:r>
              <w:rPr>
                <w:szCs w:val="21"/>
              </w:rPr>
              <w:t>升温2：以7 °C/min升温至250 °C，持续2分钟</w:t>
            </w:r>
          </w:p>
        </w:tc>
        <w:tc>
          <w:tcPr>
            <w:tcW w:w="1894" w:type="dxa"/>
            <w:tcBorders>
              <w:left w:val="single" w:color="auto" w:sz="4" w:space="0"/>
            </w:tcBorders>
            <w:shd w:val="clear" w:color="auto" w:fill="FFFFFF"/>
            <w:vAlign w:val="center"/>
          </w:tcPr>
          <w:p>
            <w:pPr>
              <w:jc w:val="center"/>
              <w:rPr>
                <w:szCs w:val="21"/>
              </w:rPr>
            </w:pPr>
            <w:r>
              <w:rPr>
                <w:szCs w:val="21"/>
              </w:rPr>
              <w:t>升温2：以7 °C/min升温至250 °C，持续2分钟</w:t>
            </w:r>
          </w:p>
        </w:tc>
        <w:tc>
          <w:tcPr>
            <w:tcW w:w="1885" w:type="dxa"/>
            <w:tcBorders>
              <w:left w:val="single" w:color="auto" w:sz="4" w:space="0"/>
            </w:tcBorders>
            <w:shd w:val="clear" w:color="auto" w:fill="FFFFFF"/>
            <w:vAlign w:val="center"/>
          </w:tcPr>
          <w:p>
            <w:pPr>
              <w:jc w:val="center"/>
              <w:rPr>
                <w:szCs w:val="21"/>
              </w:rPr>
            </w:pPr>
            <w:r>
              <w:rPr>
                <w:szCs w:val="21"/>
              </w:rPr>
              <w:t>升温2：以7 °C/min升温至250 °C，持续2分钟</w:t>
            </w:r>
          </w:p>
        </w:tc>
        <w:tc>
          <w:tcPr>
            <w:tcW w:w="1900" w:type="dxa"/>
            <w:tcBorders>
              <w:left w:val="single" w:color="auto" w:sz="4" w:space="0"/>
              <w:right w:val="single" w:color="auto" w:sz="4" w:space="0"/>
            </w:tcBorders>
            <w:shd w:val="clear" w:color="auto" w:fill="FFFFFF"/>
            <w:vAlign w:val="center"/>
          </w:tcPr>
          <w:p>
            <w:pPr>
              <w:jc w:val="center"/>
              <w:rPr>
                <w:szCs w:val="21"/>
              </w:rPr>
            </w:pPr>
            <w:r>
              <w:rPr>
                <w:szCs w:val="21"/>
              </w:rPr>
              <w:t>升温2：以11°C/min升温至270 °C，持续0</w:t>
            </w:r>
            <w:r>
              <w:rPr>
                <w:rFonts w:hint="eastAsia"/>
                <w:szCs w:val="21"/>
                <w:lang w:val="en-US" w:eastAsia="zh-CN"/>
              </w:rPr>
              <w:t>.</w:t>
            </w:r>
            <w:r>
              <w:rPr>
                <w:szCs w:val="21"/>
              </w:rPr>
              <w:t>5分钟</w:t>
            </w:r>
          </w:p>
        </w:tc>
      </w:tr>
      <w:tr>
        <w:tblPrEx>
          <w:tblLayout w:type="fixed"/>
          <w:tblCellMar>
            <w:top w:w="0" w:type="dxa"/>
            <w:left w:w="57" w:type="dxa"/>
            <w:bottom w:w="0" w:type="dxa"/>
            <w:right w:w="57" w:type="dxa"/>
          </w:tblCellMar>
        </w:tblPrEx>
        <w:tc>
          <w:tcPr>
            <w:tcW w:w="1900" w:type="dxa"/>
            <w:vMerge w:val="continue"/>
            <w:tcBorders>
              <w:left w:val="single" w:color="auto" w:sz="4" w:space="0"/>
            </w:tcBorders>
            <w:shd w:val="clear" w:color="auto" w:fill="FFFFFF"/>
            <w:vAlign w:val="center"/>
          </w:tcPr>
          <w:p>
            <w:pPr>
              <w:jc w:val="center"/>
              <w:rPr>
                <w:szCs w:val="21"/>
              </w:rPr>
            </w:pPr>
          </w:p>
        </w:tc>
        <w:tc>
          <w:tcPr>
            <w:tcW w:w="1889" w:type="dxa"/>
            <w:tcBorders>
              <w:left w:val="single" w:color="auto" w:sz="4" w:space="0"/>
            </w:tcBorders>
            <w:shd w:val="clear" w:color="auto" w:fill="FFFFFF"/>
            <w:vAlign w:val="center"/>
          </w:tcPr>
          <w:p>
            <w:pPr>
              <w:jc w:val="center"/>
              <w:rPr>
                <w:szCs w:val="21"/>
              </w:rPr>
            </w:pPr>
            <w:r>
              <w:rPr>
                <w:szCs w:val="21"/>
              </w:rPr>
              <w:t>升温3：以3 °C/min升温至300 °C，持续15分钟</w:t>
            </w:r>
          </w:p>
        </w:tc>
        <w:tc>
          <w:tcPr>
            <w:tcW w:w="1894" w:type="dxa"/>
            <w:tcBorders>
              <w:left w:val="single" w:color="auto" w:sz="4" w:space="0"/>
            </w:tcBorders>
            <w:shd w:val="clear" w:color="auto" w:fill="FFFFFF"/>
            <w:vAlign w:val="center"/>
          </w:tcPr>
          <w:p>
            <w:pPr>
              <w:jc w:val="center"/>
              <w:rPr>
                <w:szCs w:val="21"/>
              </w:rPr>
            </w:pPr>
            <w:r>
              <w:rPr>
                <w:szCs w:val="21"/>
              </w:rPr>
              <w:t>升温3：以3 °C/min升温至300 °C，持续15分钟</w:t>
            </w:r>
          </w:p>
        </w:tc>
        <w:tc>
          <w:tcPr>
            <w:tcW w:w="1885" w:type="dxa"/>
            <w:tcBorders>
              <w:left w:val="single" w:color="auto" w:sz="4" w:space="0"/>
            </w:tcBorders>
            <w:shd w:val="clear" w:color="auto" w:fill="FFFFFF"/>
            <w:vAlign w:val="center"/>
          </w:tcPr>
          <w:p>
            <w:pPr>
              <w:jc w:val="center"/>
              <w:rPr>
                <w:szCs w:val="21"/>
              </w:rPr>
            </w:pPr>
            <w:r>
              <w:rPr>
                <w:szCs w:val="21"/>
              </w:rPr>
              <w:t>升温3：以5 °C/min升温至300 °C，持续30分钟</w:t>
            </w:r>
          </w:p>
        </w:tc>
        <w:tc>
          <w:tcPr>
            <w:tcW w:w="1900" w:type="dxa"/>
            <w:tcBorders>
              <w:left w:val="single" w:color="auto" w:sz="4" w:space="0"/>
              <w:right w:val="single" w:color="auto" w:sz="4" w:space="0"/>
            </w:tcBorders>
            <w:shd w:val="clear" w:color="auto" w:fill="FFFFFF"/>
            <w:vAlign w:val="center"/>
          </w:tcPr>
          <w:p>
            <w:pPr>
              <w:jc w:val="center"/>
              <w:rPr>
                <w:szCs w:val="21"/>
              </w:rPr>
            </w:pPr>
            <w:r>
              <w:rPr>
                <w:szCs w:val="21"/>
              </w:rPr>
              <w:t>升温3：以2°C/min升温至300 °C，持续30分钟</w:t>
            </w:r>
          </w:p>
        </w:tc>
      </w:tr>
      <w:tr>
        <w:tblPrEx>
          <w:tblLayout w:type="fixed"/>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szCs w:val="21"/>
              </w:rPr>
            </w:pPr>
            <w:r>
              <w:rPr>
                <w:rFonts w:hint="eastAsia"/>
                <w:szCs w:val="21"/>
                <w:lang w:val="en-US" w:eastAsia="zh-CN"/>
              </w:rPr>
              <w:t>传输线</w:t>
            </w:r>
            <w:r>
              <w:rPr>
                <w:szCs w:val="21"/>
              </w:rPr>
              <w:t>温度</w:t>
            </w:r>
          </w:p>
        </w:tc>
        <w:tc>
          <w:tcPr>
            <w:tcW w:w="1889" w:type="dxa"/>
            <w:tcBorders>
              <w:top w:val="single" w:color="auto" w:sz="4" w:space="0"/>
              <w:left w:val="single" w:color="auto" w:sz="4" w:space="0"/>
            </w:tcBorders>
            <w:shd w:val="clear" w:color="auto" w:fill="FFFFFF"/>
            <w:vAlign w:val="center"/>
          </w:tcPr>
          <w:p>
            <w:pPr>
              <w:jc w:val="center"/>
              <w:rPr>
                <w:szCs w:val="21"/>
              </w:rPr>
            </w:pPr>
            <w:r>
              <w:rPr>
                <w:szCs w:val="21"/>
              </w:rPr>
              <w:t>280 °C</w:t>
            </w:r>
          </w:p>
        </w:tc>
        <w:tc>
          <w:tcPr>
            <w:tcW w:w="1894" w:type="dxa"/>
            <w:tcBorders>
              <w:top w:val="single" w:color="auto" w:sz="4" w:space="0"/>
              <w:left w:val="single" w:color="auto" w:sz="4" w:space="0"/>
            </w:tcBorders>
            <w:shd w:val="clear" w:color="auto" w:fill="FFFFFF"/>
            <w:vAlign w:val="center"/>
          </w:tcPr>
          <w:p>
            <w:pPr>
              <w:jc w:val="center"/>
              <w:rPr>
                <w:szCs w:val="21"/>
              </w:rPr>
            </w:pPr>
            <w:r>
              <w:rPr>
                <w:szCs w:val="21"/>
              </w:rPr>
              <w:t>280 °C</w:t>
            </w:r>
          </w:p>
        </w:tc>
        <w:tc>
          <w:tcPr>
            <w:tcW w:w="1885" w:type="dxa"/>
            <w:tcBorders>
              <w:top w:val="single" w:color="auto" w:sz="4" w:space="0"/>
              <w:left w:val="single" w:color="auto" w:sz="4" w:space="0"/>
            </w:tcBorders>
            <w:shd w:val="clear" w:color="auto" w:fill="FFFFFF"/>
            <w:vAlign w:val="center"/>
          </w:tcPr>
          <w:p>
            <w:pPr>
              <w:jc w:val="center"/>
              <w:rPr>
                <w:szCs w:val="21"/>
              </w:rPr>
            </w:pPr>
            <w:r>
              <w:rPr>
                <w:szCs w:val="21"/>
              </w:rPr>
              <w:t>280 °C</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280 °C</w:t>
            </w:r>
          </w:p>
        </w:tc>
      </w:tr>
      <w:tr>
        <w:tblPrEx>
          <w:tblLayout w:type="fixed"/>
          <w:tblCellMar>
            <w:top w:w="0" w:type="dxa"/>
            <w:left w:w="57" w:type="dxa"/>
            <w:bottom w:w="0" w:type="dxa"/>
            <w:right w:w="57" w:type="dxa"/>
          </w:tblCellMar>
        </w:tblPrEx>
        <w:tc>
          <w:tcPr>
            <w:tcW w:w="1900"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采集方式</w:t>
            </w:r>
          </w:p>
        </w:tc>
        <w:tc>
          <w:tcPr>
            <w:tcW w:w="1889"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扫描方式（50 amu至550 amu）</w:t>
            </w:r>
          </w:p>
        </w:tc>
        <w:tc>
          <w:tcPr>
            <w:tcW w:w="1894"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扫描方式（50 amu至550 amu）</w:t>
            </w:r>
          </w:p>
        </w:tc>
        <w:tc>
          <w:tcPr>
            <w:tcW w:w="1885" w:type="dxa"/>
            <w:tcBorders>
              <w:top w:val="single" w:color="auto" w:sz="4" w:space="0"/>
              <w:left w:val="single" w:color="auto" w:sz="4" w:space="0"/>
              <w:bottom w:val="single" w:color="auto" w:sz="4" w:space="0"/>
            </w:tcBorders>
            <w:shd w:val="clear" w:color="auto" w:fill="FFFFFF"/>
            <w:vAlign w:val="center"/>
          </w:tcPr>
          <w:p>
            <w:pPr>
              <w:jc w:val="center"/>
              <w:rPr>
                <w:szCs w:val="21"/>
              </w:rPr>
            </w:pPr>
            <w:r>
              <w:rPr>
                <w:szCs w:val="21"/>
              </w:rPr>
              <w:t>扫描方式（50 amu至550 amu）</w:t>
            </w:r>
          </w:p>
        </w:tc>
        <w:tc>
          <w:tcPr>
            <w:tcW w:w="190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szCs w:val="21"/>
              </w:rPr>
            </w:pPr>
            <w:r>
              <w:rPr>
                <w:szCs w:val="21"/>
              </w:rPr>
              <w:t>扫描方式（50 amu至550 amu）</w:t>
            </w:r>
          </w:p>
        </w:tc>
      </w:tr>
    </w:tbl>
    <w:p>
      <w:pPr>
        <w:rPr>
          <w:szCs w:val="21"/>
        </w:rPr>
      </w:pPr>
      <w:r>
        <w:rPr>
          <w:szCs w:val="21"/>
        </w:rPr>
        <w:br w:type="page"/>
      </w:r>
    </w:p>
    <w:p>
      <w:pPr>
        <w:jc w:val="center"/>
        <w:rPr>
          <w:szCs w:val="21"/>
        </w:rPr>
      </w:pPr>
      <w:r>
        <w:rPr>
          <w:szCs w:val="21"/>
        </w:rPr>
        <mc:AlternateContent>
          <mc:Choice Requires="wps">
            <w:drawing>
              <wp:anchor distT="0" distB="0" distL="114300" distR="114300" simplePos="0" relativeHeight="251667456" behindDoc="0" locked="0" layoutInCell="1" allowOverlap="1">
                <wp:simplePos x="0" y="0"/>
                <wp:positionH relativeFrom="column">
                  <wp:posOffset>4030345</wp:posOffset>
                </wp:positionH>
                <wp:positionV relativeFrom="paragraph">
                  <wp:posOffset>628015</wp:posOffset>
                </wp:positionV>
                <wp:extent cx="1009650" cy="142240"/>
                <wp:effectExtent l="0" t="0" r="0" b="0"/>
                <wp:wrapNone/>
                <wp:docPr id="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09650" cy="142240"/>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11、12、13：不分流</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17.35pt;margin-top:49.45pt;height:11.2pt;width:79.5pt;z-index:251667456;mso-width-relative:page;mso-height-relative:page;" fillcolor="#FFFFFF" filled="t" stroked="f" coordsize="21600,21600" o:gfxdata="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Aes2mTZAAAACgEAAA8AAAAA&#10;AAAAAQAgAAAAIgAAAGRycy9kb3ducmV2LnhtbFBLAQIUABQAAAAIAIdO4kDPQrrKEwIAAPUDAAAO&#10;AAAAAAAAAAEAIAAAACgBAABkcnMvZTJvRG9jLnhtbFBLBQYAAAAABgAGAFkBAACtBQAAAAA=&#10;">
                <v:fill on="t" focussize="0,0"/>
                <v:stroke on="f" miterlimit="8" joinstyle="miter"/>
                <v:imagedata o:title=""/>
                <o:lock v:ext="edit" aspectratio="f"/>
                <v:textbox inset="0mm,0mm,0mm,0mm">
                  <w:txbxContent>
                    <w:p>
                      <w:pPr>
                        <w:adjustRightInd w:val="0"/>
                        <w:snapToGrid w:val="0"/>
                        <w:jc w:val="center"/>
                        <w:rPr>
                          <w:rFonts w:ascii="Arial" w:hAnsi="Arial" w:cs="Arial"/>
                          <w:sz w:val="16"/>
                          <w:szCs w:val="16"/>
                        </w:rPr>
                      </w:pPr>
                      <w:r>
                        <w:rPr>
                          <w:rFonts w:hint="eastAsia" w:ascii="Arial" w:hAnsi="Arial" w:cs="Arial"/>
                          <w:bCs/>
                          <w:sz w:val="13"/>
                          <w:szCs w:val="13"/>
                        </w:rPr>
                        <w:t>11、12、13：不分流</w:t>
                      </w:r>
                    </w:p>
                  </w:txbxContent>
                </v:textbox>
              </v:shape>
            </w:pict>
          </mc:Fallback>
        </mc:AlternateContent>
      </w:r>
      <w:r>
        <w:rPr>
          <w:szCs w:val="21"/>
        </w:rPr>
        <mc:AlternateContent>
          <mc:Choice Requires="wps">
            <w:drawing>
              <wp:anchor distT="0" distB="0" distL="114300" distR="114300" simplePos="0" relativeHeight="251666432" behindDoc="0" locked="0" layoutInCell="1" allowOverlap="1">
                <wp:simplePos x="0" y="0"/>
                <wp:positionH relativeFrom="column">
                  <wp:posOffset>151765</wp:posOffset>
                </wp:positionH>
                <wp:positionV relativeFrom="paragraph">
                  <wp:posOffset>20955</wp:posOffset>
                </wp:positionV>
                <wp:extent cx="168910" cy="744855"/>
                <wp:effectExtent l="0" t="0" r="2540" b="0"/>
                <wp:wrapNone/>
                <wp:docPr id="1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8910" cy="744855"/>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wps:txbx>
                      <wps:bodyPr rot="0" vert="vert270" wrap="square" lIns="0" tIns="0" rIns="0" bIns="0" anchor="t" anchorCtr="0">
                        <a:noAutofit/>
                      </wps:bodyPr>
                    </wps:wsp>
                  </a:graphicData>
                </a:graphic>
              </wp:anchor>
            </w:drawing>
          </mc:Choice>
          <mc:Fallback>
            <w:pict>
              <v:shape id="文本框 2" o:spid="_x0000_s1026" o:spt="202" type="#_x0000_t202" style="position:absolute;left:0pt;margin-left:11.95pt;margin-top:1.65pt;height:58.65pt;width:13.3pt;z-index:251666432;mso-width-relative:page;mso-height-relative:page;" fillcolor="#FFFFFF" filled="t" stroked="f" coordsize="21600,21600" o:gfxdata="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GRM+e1AAAAAcBAAAPAAAAAAAAAAEA&#10;IAAAACIAAABkcnMvZG93bnJldi54bWxQSwECFAAUAAAACACHTuJAyX2MZxMCAAD3AwAADgAAAAAA&#10;AAABACAAAAAjAQAAZHJzL2Uyb0RvYy54bWxQSwUGAAAAAAYABgBZAQAAqAUAAAAA&#10;">
                <v:fill on="t" focussize="0,0"/>
                <v:stroke on="f" miterlimit="8" joinstyle="miter"/>
                <v:imagedata o:title=""/>
                <o:lock v:ext="edit" aspectratio="f"/>
                <v:textbox inset="0mm,0mm,0mm,0mm" style="layout-flow:vertical;mso-layout-flow-alt:bottom-to-top;">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v:textbox>
              </v:shape>
            </w:pict>
          </mc:Fallback>
        </mc:AlternateContent>
      </w:r>
      <w:r>
        <w:rPr>
          <w:szCs w:val="21"/>
        </w:rPr>
        <mc:AlternateContent>
          <mc:Choice Requires="wps">
            <w:drawing>
              <wp:anchor distT="0" distB="0" distL="114300" distR="114300" simplePos="0" relativeHeight="251665408" behindDoc="0" locked="0" layoutInCell="1" allowOverlap="1">
                <wp:simplePos x="0" y="0"/>
                <wp:positionH relativeFrom="column">
                  <wp:posOffset>4784725</wp:posOffset>
                </wp:positionH>
                <wp:positionV relativeFrom="paragraph">
                  <wp:posOffset>2656840</wp:posOffset>
                </wp:positionV>
                <wp:extent cx="1009650" cy="142240"/>
                <wp:effectExtent l="0" t="0" r="0" b="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09815" cy="142240"/>
                        </a:xfrm>
                        <a:prstGeom prst="rect">
                          <a:avLst/>
                        </a:prstGeom>
                        <a:solidFill>
                          <a:srgbClr val="FFFFFF"/>
                        </a:solidFill>
                        <a:ln w="9525">
                          <a:noFill/>
                          <a:miter lim="800000"/>
                        </a:ln>
                      </wps:spPr>
                      <wps:txbx>
                        <w:txbxContent>
                          <w:p>
                            <w:pPr>
                              <w:adjustRightInd w:val="0"/>
                              <w:snapToGrid w:val="0"/>
                              <w:jc w:val="right"/>
                              <w:rPr>
                                <w:rFonts w:ascii="Arial" w:hAnsi="Arial" w:cs="Arial"/>
                                <w:sz w:val="16"/>
                                <w:szCs w:val="16"/>
                              </w:rPr>
                            </w:pPr>
                            <w:r>
                              <w:rPr>
                                <w:rFonts w:hint="eastAsia" w:ascii="Arial" w:hAnsi="Arial" w:cs="Arial"/>
                                <w:bCs/>
                                <w:sz w:val="13"/>
                                <w:szCs w:val="13"/>
                              </w:rPr>
                              <w:t>保留时间：（分钟）</w:t>
                            </w:r>
                          </w:p>
                          <w:p>
                            <w:pPr>
                              <w:adjustRightInd w:val="0"/>
                              <w:snapToGrid w:val="0"/>
                              <w:jc w:val="right"/>
                              <w:rPr>
                                <w:rFonts w:ascii="Arial" w:hAnsi="Arial" w:cs="Arial"/>
                                <w:sz w:val="16"/>
                                <w:szCs w:val="16"/>
                              </w:rPr>
                            </w:pP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76.75pt;margin-top:209.2pt;height:11.2pt;width:79.5pt;z-index:251665408;mso-width-relative:page;mso-height-relative:page;" fillcolor="#FFFFFF" filled="t" stroked="f" coordsize="21600,21600" o:gfxdata="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dw6XvaAAAACwEAAA8A&#10;AAAAAAAAAQAgAAAAIgAAAGRycy9kb3ducmV2LnhtbFBLAQIUABQAAAAIAIdO4kAeOnUTFQIAAPYD&#10;AAAOAAAAAAAAAAEAIAAAACkBAABkcnMvZTJvRG9jLnhtbFBLBQYAAAAABgAGAFkBAACwBQAAAAA=&#10;">
                <v:fill on="t" focussize="0,0"/>
                <v:stroke on="f" miterlimit="8" joinstyle="miter"/>
                <v:imagedata o:title=""/>
                <o:lock v:ext="edit" aspectratio="f"/>
                <v:textbox inset="0mm,0mm,0mm,0mm">
                  <w:txbxContent>
                    <w:p>
                      <w:pPr>
                        <w:adjustRightInd w:val="0"/>
                        <w:snapToGrid w:val="0"/>
                        <w:jc w:val="right"/>
                        <w:rPr>
                          <w:rFonts w:ascii="Arial" w:hAnsi="Arial" w:cs="Arial"/>
                          <w:sz w:val="16"/>
                          <w:szCs w:val="16"/>
                        </w:rPr>
                      </w:pPr>
                      <w:r>
                        <w:rPr>
                          <w:rFonts w:hint="eastAsia" w:ascii="Arial" w:hAnsi="Arial" w:cs="Arial"/>
                          <w:bCs/>
                          <w:sz w:val="13"/>
                          <w:szCs w:val="13"/>
                        </w:rPr>
                        <w:t>保留时间：（分钟）</w:t>
                      </w:r>
                    </w:p>
                    <w:p>
                      <w:pPr>
                        <w:adjustRightInd w:val="0"/>
                        <w:snapToGrid w:val="0"/>
                        <w:jc w:val="right"/>
                        <w:rPr>
                          <w:rFonts w:ascii="Arial" w:hAnsi="Arial" w:cs="Arial"/>
                          <w:sz w:val="16"/>
                          <w:szCs w:val="16"/>
                        </w:rPr>
                      </w:pPr>
                    </w:p>
                  </w:txbxContent>
                </v:textbox>
              </v:shape>
            </w:pict>
          </mc:Fallback>
        </mc:AlternateContent>
      </w:r>
      <w:r>
        <w:rPr>
          <w:szCs w:val="21"/>
        </w:rPr>
        <w:drawing>
          <wp:inline distT="0" distB="0" distL="0" distR="0">
            <wp:extent cx="5641975" cy="2915920"/>
            <wp:effectExtent l="0" t="0" r="0" b="0"/>
            <wp:docPr id="12" name="图片 12" descr="C:\Users\sl\AppData\Local\Temp\FineReader12.0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sl\AppData\Local\Temp\FineReader12.00\media\image4.jpe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641975" cy="2915920"/>
                    </a:xfrm>
                    <a:prstGeom prst="rect">
                      <a:avLst/>
                    </a:prstGeom>
                    <a:noFill/>
                    <a:ln>
                      <a:noFill/>
                    </a:ln>
                  </pic:spPr>
                </pic:pic>
              </a:graphicData>
            </a:graphic>
          </wp:inline>
        </w:drawing>
      </w:r>
    </w:p>
    <w:p>
      <w:pPr>
        <w:jc w:val="center"/>
        <w:rPr>
          <w:szCs w:val="21"/>
        </w:rPr>
      </w:pPr>
      <w:r>
        <w:rPr>
          <w:szCs w:val="21"/>
        </w:rPr>
        <mc:AlternateContent>
          <mc:Choice Requires="wps">
            <w:drawing>
              <wp:anchor distT="0" distB="0" distL="114300" distR="114300" simplePos="0" relativeHeight="251669504" behindDoc="0" locked="0" layoutInCell="1" allowOverlap="1">
                <wp:simplePos x="0" y="0"/>
                <wp:positionH relativeFrom="column">
                  <wp:posOffset>280035</wp:posOffset>
                </wp:positionH>
                <wp:positionV relativeFrom="paragraph">
                  <wp:posOffset>47625</wp:posOffset>
                </wp:positionV>
                <wp:extent cx="168910" cy="744855"/>
                <wp:effectExtent l="0" t="0" r="2540" b="0"/>
                <wp:wrapNone/>
                <wp:docPr id="1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8910" cy="744855"/>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wps:txbx>
                      <wps:bodyPr rot="0" vert="vert270" wrap="square" lIns="0" tIns="0" rIns="0" bIns="0" anchor="t" anchorCtr="0">
                        <a:noAutofit/>
                      </wps:bodyPr>
                    </wps:wsp>
                  </a:graphicData>
                </a:graphic>
              </wp:anchor>
            </w:drawing>
          </mc:Choice>
          <mc:Fallback>
            <w:pict>
              <v:shape id="文本框 2" o:spid="_x0000_s1026" o:spt="202" type="#_x0000_t202" style="position:absolute;left:0pt;margin-left:22.05pt;margin-top:3.75pt;height:58.65pt;width:13.3pt;z-index:251669504;mso-width-relative:page;mso-height-relative:page;" fillcolor="#FFFFFF" filled="t" stroked="f" coordsize="21600,21600" o:gfxdata="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P80kZNUAAAAHAQAADwAAAAAAAAAB&#10;ACAAAAAiAAAAZHJzL2Rvd25yZXYueG1sUEsBAhQAFAAAAAgAh07iQK15accTAgAA9wMAAA4AAAAA&#10;AAAAAQAgAAAAJAEAAGRycy9lMm9Eb2MueG1sUEsFBgAAAAAGAAYAWQEAAKkFAAAAAA==&#10;">
                <v:fill on="t" focussize="0,0"/>
                <v:stroke on="f" miterlimit="8" joinstyle="miter"/>
                <v:imagedata o:title=""/>
                <o:lock v:ext="edit" aspectratio="f"/>
                <v:textbox inset="0mm,0mm,0mm,0mm" style="layout-flow:vertical;mso-layout-flow-alt:bottom-to-top;">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v:textbox>
              </v:shape>
            </w:pict>
          </mc:Fallback>
        </mc:AlternateContent>
      </w:r>
      <w:r>
        <w:rPr>
          <w:szCs w:val="21"/>
        </w:rPr>
        <mc:AlternateContent>
          <mc:Choice Requires="wps">
            <w:drawing>
              <wp:anchor distT="0" distB="0" distL="114300" distR="114300" simplePos="0" relativeHeight="251668480" behindDoc="0" locked="0" layoutInCell="1" allowOverlap="1">
                <wp:simplePos x="0" y="0"/>
                <wp:positionH relativeFrom="column">
                  <wp:posOffset>4451985</wp:posOffset>
                </wp:positionH>
                <wp:positionV relativeFrom="paragraph">
                  <wp:posOffset>2818765</wp:posOffset>
                </wp:positionV>
                <wp:extent cx="1009650" cy="142240"/>
                <wp:effectExtent l="0" t="0" r="0" b="0"/>
                <wp:wrapNone/>
                <wp:docPr id="1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09650" cy="142240"/>
                        </a:xfrm>
                        <a:prstGeom prst="rect">
                          <a:avLst/>
                        </a:prstGeom>
                        <a:solidFill>
                          <a:srgbClr val="FFFFFF"/>
                        </a:solidFill>
                        <a:ln w="9525">
                          <a:noFill/>
                          <a:miter lim="800000"/>
                        </a:ln>
                      </wps:spPr>
                      <wps:txbx>
                        <w:txbxContent>
                          <w:p>
                            <w:pPr>
                              <w:adjustRightInd w:val="0"/>
                              <w:snapToGrid w:val="0"/>
                              <w:jc w:val="right"/>
                              <w:rPr>
                                <w:rFonts w:ascii="Arial" w:hAnsi="Arial" w:cs="Arial"/>
                                <w:sz w:val="16"/>
                                <w:szCs w:val="16"/>
                              </w:rPr>
                            </w:pPr>
                            <w:r>
                              <w:rPr>
                                <w:rFonts w:hint="eastAsia" w:ascii="Arial" w:hAnsi="Arial" w:cs="Arial"/>
                                <w:bCs/>
                                <w:sz w:val="13"/>
                                <w:szCs w:val="13"/>
                              </w:rPr>
                              <w:t>保留时间：（分钟）</w:t>
                            </w:r>
                          </w:p>
                          <w:p>
                            <w:pPr>
                              <w:adjustRightInd w:val="0"/>
                              <w:snapToGrid w:val="0"/>
                              <w:jc w:val="right"/>
                              <w:rPr>
                                <w:rFonts w:ascii="Arial" w:hAnsi="Arial" w:cs="Arial"/>
                                <w:sz w:val="16"/>
                                <w:szCs w:val="16"/>
                              </w:rPr>
                            </w:pP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50.55pt;margin-top:221.95pt;height:11.2pt;width:79.5pt;z-index:251668480;mso-width-relative:page;mso-height-relative:page;" fillcolor="#FFFFFF" filled="t" stroked="f" coordsize="21600,21600" o:gfxdata="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fmRnkNkAAAALAQAADwAAAAAA&#10;AAABACAAAAAiAAAAZHJzL2Rvd25yZXYueG1sUEsBAhQAFAAAAAgAh07iQIyItvkSAgAA9QMAAA4A&#10;AAAAAAAAAQAgAAAAKAEAAGRycy9lMm9Eb2MueG1sUEsFBgAAAAAGAAYAWQEAAKwFAAAAAA==&#10;">
                <v:fill on="t" focussize="0,0"/>
                <v:stroke on="f" miterlimit="8" joinstyle="miter"/>
                <v:imagedata o:title=""/>
                <o:lock v:ext="edit" aspectratio="f"/>
                <v:textbox inset="0mm,0mm,0mm,0mm">
                  <w:txbxContent>
                    <w:p>
                      <w:pPr>
                        <w:adjustRightInd w:val="0"/>
                        <w:snapToGrid w:val="0"/>
                        <w:jc w:val="right"/>
                        <w:rPr>
                          <w:rFonts w:ascii="Arial" w:hAnsi="Arial" w:cs="Arial"/>
                          <w:sz w:val="16"/>
                          <w:szCs w:val="16"/>
                        </w:rPr>
                      </w:pPr>
                      <w:r>
                        <w:rPr>
                          <w:rFonts w:hint="eastAsia" w:ascii="Arial" w:hAnsi="Arial" w:cs="Arial"/>
                          <w:bCs/>
                          <w:sz w:val="13"/>
                          <w:szCs w:val="13"/>
                        </w:rPr>
                        <w:t>保留时间：（分钟）</w:t>
                      </w:r>
                    </w:p>
                    <w:p>
                      <w:pPr>
                        <w:adjustRightInd w:val="0"/>
                        <w:snapToGrid w:val="0"/>
                        <w:jc w:val="right"/>
                        <w:rPr>
                          <w:rFonts w:ascii="Arial" w:hAnsi="Arial" w:cs="Arial"/>
                          <w:sz w:val="16"/>
                          <w:szCs w:val="16"/>
                        </w:rPr>
                      </w:pPr>
                    </w:p>
                  </w:txbxContent>
                </v:textbox>
              </v:shape>
            </w:pict>
          </mc:Fallback>
        </mc:AlternateContent>
      </w:r>
      <w:r>
        <w:rPr>
          <w:b/>
          <w:bCs/>
          <w:szCs w:val="21"/>
        </w:rPr>
        <w:t>a）18种</w:t>
      </w:r>
      <w:r>
        <w:rPr>
          <w:rFonts w:hint="eastAsia"/>
          <w:b/>
          <w:bCs/>
          <w:szCs w:val="21"/>
          <w:lang w:eastAsia="zh-CN"/>
        </w:rPr>
        <w:t>PAHs</w:t>
      </w:r>
      <w:r>
        <w:rPr>
          <w:b/>
          <w:bCs/>
          <w:szCs w:val="21"/>
        </w:rPr>
        <w:t>的DB-5MS（30 m）分离结果</w:t>
      </w:r>
    </w:p>
    <w:p>
      <w:pPr>
        <w:rPr>
          <w:szCs w:val="21"/>
        </w:rPr>
      </w:pPr>
      <w:r>
        <w:rPr>
          <w:szCs w:val="21"/>
        </w:rPr>
        <mc:AlternateContent>
          <mc:Choice Requires="wps">
            <w:drawing>
              <wp:anchor distT="0" distB="0" distL="114300" distR="114300" simplePos="0" relativeHeight="251670528" behindDoc="0" locked="0" layoutInCell="1" allowOverlap="1">
                <wp:simplePos x="0" y="0"/>
                <wp:positionH relativeFrom="column">
                  <wp:posOffset>3196590</wp:posOffset>
                </wp:positionH>
                <wp:positionV relativeFrom="paragraph">
                  <wp:posOffset>201930</wp:posOffset>
                </wp:positionV>
                <wp:extent cx="1009650" cy="142240"/>
                <wp:effectExtent l="0" t="0" r="0" b="0"/>
                <wp:wrapNone/>
                <wp:docPr id="2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09650" cy="142240"/>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11、12、13：不分流</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51.7pt;margin-top:15.9pt;height:11.2pt;width:79.5pt;z-index:251670528;mso-width-relative:page;mso-height-relative:page;" fillcolor="#FFFFFF" filled="t" stroked="f" coordsize="21600,21600" o:gfxdata="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fSs5z2AAAAAkBAAAPAAAAAAAA&#10;AAEAIAAAACIAAABkcnMvZG93bnJldi54bWxQSwECFAAUAAAACACHTuJAneQtGBICAAD1AwAADgAA&#10;AAAAAAABACAAAAAnAQAAZHJzL2Uyb0RvYy54bWxQSwUGAAAAAAYABgBZAQAAqwUAAAAA&#10;">
                <v:fill on="t" focussize="0,0"/>
                <v:stroke on="f" miterlimit="8" joinstyle="miter"/>
                <v:imagedata o:title=""/>
                <o:lock v:ext="edit" aspectratio="f"/>
                <v:textbox inset="0mm,0mm,0mm,0mm">
                  <w:txbxContent>
                    <w:p>
                      <w:pPr>
                        <w:adjustRightInd w:val="0"/>
                        <w:snapToGrid w:val="0"/>
                        <w:jc w:val="center"/>
                        <w:rPr>
                          <w:rFonts w:ascii="Arial" w:hAnsi="Arial" w:cs="Arial"/>
                          <w:sz w:val="16"/>
                          <w:szCs w:val="16"/>
                        </w:rPr>
                      </w:pPr>
                      <w:r>
                        <w:rPr>
                          <w:rFonts w:hint="eastAsia" w:ascii="Arial" w:hAnsi="Arial" w:cs="Arial"/>
                          <w:bCs/>
                          <w:sz w:val="13"/>
                          <w:szCs w:val="13"/>
                        </w:rPr>
                        <w:t>11、12、13：不分流</w:t>
                      </w:r>
                    </w:p>
                  </w:txbxContent>
                </v:textbox>
              </v:shape>
            </w:pict>
          </mc:Fallback>
        </mc:AlternateContent>
      </w:r>
      <w:r>
        <w:rPr>
          <w:szCs w:val="21"/>
        </w:rPr>
        <w:drawing>
          <wp:inline distT="0" distB="0" distL="0" distR="0">
            <wp:extent cx="5520690" cy="2907030"/>
            <wp:effectExtent l="0" t="0" r="3810" b="7620"/>
            <wp:docPr id="13" name="图片 13" descr="C:\Users\sl\AppData\Local\Temp\FineReader12.00\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sl\AppData\Local\Temp\FineReader12.00\media\image5.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5520690" cy="2907030"/>
                    </a:xfrm>
                    <a:prstGeom prst="rect">
                      <a:avLst/>
                    </a:prstGeom>
                    <a:noFill/>
                    <a:ln>
                      <a:noFill/>
                    </a:ln>
                  </pic:spPr>
                </pic:pic>
              </a:graphicData>
            </a:graphic>
          </wp:inline>
        </w:drawing>
      </w:r>
    </w:p>
    <w:p>
      <w:pPr>
        <w:jc w:val="center"/>
        <w:rPr>
          <w:b/>
          <w:bCs/>
          <w:szCs w:val="21"/>
        </w:rPr>
      </w:pPr>
      <w:r>
        <w:rPr>
          <w:b/>
          <w:bCs/>
          <w:szCs w:val="21"/>
        </w:rPr>
        <w:t>b）18种</w:t>
      </w:r>
      <w:r>
        <w:rPr>
          <w:rFonts w:hint="eastAsia"/>
          <w:b/>
          <w:bCs/>
          <w:szCs w:val="21"/>
          <w:lang w:eastAsia="zh-CN"/>
        </w:rPr>
        <w:t>PAHs</w:t>
      </w:r>
      <w:r>
        <w:rPr>
          <w:b/>
          <w:bCs/>
          <w:szCs w:val="21"/>
        </w:rPr>
        <w:t>的HT8（</w:t>
      </w:r>
      <w:r>
        <w:rPr>
          <w:rFonts w:hint="eastAsia"/>
          <w:b/>
          <w:bCs/>
          <w:szCs w:val="21"/>
          <w:lang w:val="en-US" w:eastAsia="zh-CN"/>
        </w:rPr>
        <w:t>25</w:t>
      </w:r>
      <w:r>
        <w:rPr>
          <w:b/>
          <w:bCs/>
          <w:szCs w:val="21"/>
        </w:rPr>
        <w:t xml:space="preserve"> m）分离结果</w:t>
      </w:r>
    </w:p>
    <w:p>
      <w:pPr>
        <w:rPr>
          <w:szCs w:val="21"/>
        </w:rPr>
      </w:pPr>
      <w:r>
        <w:rPr>
          <w:szCs w:val="21"/>
        </w:rPr>
        <w:br w:type="page"/>
      </w:r>
    </w:p>
    <w:p>
      <w:pPr>
        <w:rPr>
          <w:szCs w:val="21"/>
        </w:rPr>
      </w:pPr>
      <w:r>
        <w:rPr>
          <w:szCs w:val="21"/>
        </w:rPr>
        <mc:AlternateContent>
          <mc:Choice Requires="wps">
            <w:drawing>
              <wp:anchor distT="0" distB="0" distL="114300" distR="114300" simplePos="0" relativeHeight="251672576" behindDoc="0" locked="0" layoutInCell="1" allowOverlap="1">
                <wp:simplePos x="0" y="0"/>
                <wp:positionH relativeFrom="column">
                  <wp:posOffset>49530</wp:posOffset>
                </wp:positionH>
                <wp:positionV relativeFrom="paragraph">
                  <wp:posOffset>-9525</wp:posOffset>
                </wp:positionV>
                <wp:extent cx="168910" cy="744855"/>
                <wp:effectExtent l="0" t="0" r="2540" b="0"/>
                <wp:wrapNone/>
                <wp:docPr id="2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8910" cy="744855"/>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wps:txbx>
                      <wps:bodyPr rot="0" vert="vert270" wrap="square" lIns="0" tIns="0" rIns="0" bIns="0" anchor="t" anchorCtr="0">
                        <a:noAutofit/>
                      </wps:bodyPr>
                    </wps:wsp>
                  </a:graphicData>
                </a:graphic>
              </wp:anchor>
            </w:drawing>
          </mc:Choice>
          <mc:Fallback>
            <w:pict>
              <v:shape id="文本框 2" o:spid="_x0000_s1026" o:spt="202" type="#_x0000_t202" style="position:absolute;left:0pt;margin-left:3.9pt;margin-top:-0.75pt;height:58.65pt;width:13.3pt;z-index:251672576;mso-width-relative:page;mso-height-relative:page;" fillcolor="#FFFFFF" filled="t" stroked="f" coordsize="21600,21600" o:gfxdata="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opzzeNUAAAAHAQAADwAAAAAAAAAB&#10;ACAAAAAiAAAAZHJzL2Rvd25yZXYueG1sUEsBAhQAFAAAAAgAh07iQPSWMJ0TAgAA9wMAAA4AAAAA&#10;AAAAAQAgAAAAJAEAAGRycy9lMm9Eb2MueG1sUEsFBgAAAAAGAAYAWQEAAKkFAAAAAA==&#10;">
                <v:fill on="t" focussize="0,0"/>
                <v:stroke on="f" miterlimit="8" joinstyle="miter"/>
                <v:imagedata o:title=""/>
                <o:lock v:ext="edit" aspectratio="f"/>
                <v:textbox inset="0mm,0mm,0mm,0mm" style="layout-flow:vertical;mso-layout-flow-alt:bottom-to-top;">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v:textbox>
              </v:shape>
            </w:pict>
          </mc:Fallback>
        </mc:AlternateContent>
      </w:r>
      <w:r>
        <w:rPr>
          <w:szCs w:val="21"/>
        </w:rPr>
        <mc:AlternateContent>
          <mc:Choice Requires="wps">
            <w:drawing>
              <wp:anchor distT="0" distB="0" distL="114300" distR="114300" simplePos="0" relativeHeight="251671552" behindDoc="0" locked="0" layoutInCell="1" allowOverlap="1">
                <wp:simplePos x="0" y="0"/>
                <wp:positionH relativeFrom="column">
                  <wp:posOffset>4618990</wp:posOffset>
                </wp:positionH>
                <wp:positionV relativeFrom="paragraph">
                  <wp:posOffset>2578100</wp:posOffset>
                </wp:positionV>
                <wp:extent cx="1009650" cy="142240"/>
                <wp:effectExtent l="0" t="0" r="0" b="0"/>
                <wp:wrapNone/>
                <wp:docPr id="2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09650" cy="142240"/>
                        </a:xfrm>
                        <a:prstGeom prst="rect">
                          <a:avLst/>
                        </a:prstGeom>
                        <a:solidFill>
                          <a:srgbClr val="FFFFFF"/>
                        </a:solidFill>
                        <a:ln w="9525">
                          <a:noFill/>
                          <a:miter lim="800000"/>
                        </a:ln>
                      </wps:spPr>
                      <wps:txbx>
                        <w:txbxContent>
                          <w:p>
                            <w:pPr>
                              <w:adjustRightInd w:val="0"/>
                              <w:snapToGrid w:val="0"/>
                              <w:jc w:val="right"/>
                              <w:rPr>
                                <w:rFonts w:ascii="Arial" w:hAnsi="Arial" w:cs="Arial"/>
                                <w:sz w:val="16"/>
                                <w:szCs w:val="16"/>
                              </w:rPr>
                            </w:pPr>
                            <w:r>
                              <w:rPr>
                                <w:rFonts w:hint="eastAsia" w:ascii="Arial" w:hAnsi="Arial" w:cs="Arial"/>
                                <w:bCs/>
                                <w:sz w:val="13"/>
                                <w:szCs w:val="13"/>
                              </w:rPr>
                              <w:t>保留时间：（分钟）</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63.7pt;margin-top:203pt;height:11.2pt;width:79.5pt;z-index:251671552;mso-width-relative:page;mso-height-relative:page;" fillcolor="#FFFFFF" filled="t" stroked="f" coordsize="21600,21600" o:gfxdata="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PKjOEdgAAAALAQAADwAAAAAA&#10;AAABACAAAAAiAAAAZHJzL2Rvd25yZXYueG1sUEsBAhQAFAAAAAgAh07iQPuWvDkTAgAA9QMAAA4A&#10;AAAAAAAAAQAgAAAAJwEAAGRycy9lMm9Eb2MueG1sUEsFBgAAAAAGAAYAWQEAAKwFAAAAAA==&#10;">
                <v:fill on="t" focussize="0,0"/>
                <v:stroke on="f" miterlimit="8" joinstyle="miter"/>
                <v:imagedata o:title=""/>
                <o:lock v:ext="edit" aspectratio="f"/>
                <v:textbox inset="0mm,0mm,0mm,0mm">
                  <w:txbxContent>
                    <w:p>
                      <w:pPr>
                        <w:adjustRightInd w:val="0"/>
                        <w:snapToGrid w:val="0"/>
                        <w:jc w:val="right"/>
                        <w:rPr>
                          <w:rFonts w:ascii="Arial" w:hAnsi="Arial" w:cs="Arial"/>
                          <w:sz w:val="16"/>
                          <w:szCs w:val="16"/>
                        </w:rPr>
                      </w:pPr>
                      <w:r>
                        <w:rPr>
                          <w:rFonts w:hint="eastAsia" w:ascii="Arial" w:hAnsi="Arial" w:cs="Arial"/>
                          <w:bCs/>
                          <w:sz w:val="13"/>
                          <w:szCs w:val="13"/>
                        </w:rPr>
                        <w:t>保留时间：（分钟）</w:t>
                      </w:r>
                    </w:p>
                  </w:txbxContent>
                </v:textbox>
              </v:shape>
            </w:pict>
          </mc:Fallback>
        </mc:AlternateContent>
      </w:r>
      <w:r>
        <w:rPr>
          <w:szCs w:val="21"/>
        </w:rPr>
        <w:drawing>
          <wp:inline distT="0" distB="0" distL="0" distR="0">
            <wp:extent cx="5745480" cy="2880995"/>
            <wp:effectExtent l="0" t="0" r="7620" b="0"/>
            <wp:docPr id="14" name="图片 14" descr="C:\Users\sl\AppData\Local\Temp\FineReader12.00\media\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sl\AppData\Local\Temp\FineReader12.00\media\image6.jpe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5745480" cy="2880995"/>
                    </a:xfrm>
                    <a:prstGeom prst="rect">
                      <a:avLst/>
                    </a:prstGeom>
                    <a:noFill/>
                    <a:ln>
                      <a:noFill/>
                    </a:ln>
                  </pic:spPr>
                </pic:pic>
              </a:graphicData>
            </a:graphic>
          </wp:inline>
        </w:drawing>
      </w:r>
    </w:p>
    <w:p>
      <w:pPr>
        <w:jc w:val="center"/>
        <w:rPr>
          <w:szCs w:val="21"/>
        </w:rPr>
      </w:pPr>
      <w:r>
        <w:rPr>
          <w:b/>
          <w:bCs/>
          <w:szCs w:val="21"/>
        </w:rPr>
        <w:t>c）18种</w:t>
      </w:r>
      <w:r>
        <w:rPr>
          <w:rFonts w:hint="eastAsia"/>
          <w:b/>
          <w:bCs/>
          <w:szCs w:val="21"/>
          <w:lang w:eastAsia="zh-CN"/>
        </w:rPr>
        <w:t>PAHs</w:t>
      </w:r>
      <w:r>
        <w:rPr>
          <w:b/>
          <w:bCs/>
          <w:szCs w:val="21"/>
        </w:rPr>
        <w:t>的DB-EUPAH（20 m）分离结果</w:t>
      </w:r>
    </w:p>
    <w:p>
      <w:pPr>
        <w:jc w:val="center"/>
        <w:rPr>
          <w:szCs w:val="21"/>
        </w:rPr>
      </w:pPr>
      <w:r>
        <w:rPr>
          <w:szCs w:val="21"/>
        </w:rPr>
        <mc:AlternateContent>
          <mc:Choice Requires="wps">
            <w:drawing>
              <wp:anchor distT="0" distB="0" distL="114300" distR="114300" simplePos="0" relativeHeight="251675648" behindDoc="0" locked="0" layoutInCell="1" allowOverlap="1">
                <wp:simplePos x="0" y="0"/>
                <wp:positionH relativeFrom="column">
                  <wp:posOffset>137160</wp:posOffset>
                </wp:positionH>
                <wp:positionV relativeFrom="paragraph">
                  <wp:posOffset>17780</wp:posOffset>
                </wp:positionV>
                <wp:extent cx="168910" cy="744855"/>
                <wp:effectExtent l="0" t="0" r="2540" b="0"/>
                <wp:wrapNone/>
                <wp:docPr id="2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8910" cy="744855"/>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wps:txbx>
                      <wps:bodyPr rot="0" vert="vert270" wrap="square" lIns="0" tIns="0" rIns="0" bIns="0" anchor="t" anchorCtr="0">
                        <a:noAutofit/>
                      </wps:bodyPr>
                    </wps:wsp>
                  </a:graphicData>
                </a:graphic>
              </wp:anchor>
            </w:drawing>
          </mc:Choice>
          <mc:Fallback>
            <w:pict>
              <v:shape id="文本框 2" o:spid="_x0000_s1026" o:spt="202" type="#_x0000_t202" style="position:absolute;left:0pt;margin-left:10.8pt;margin-top:1.4pt;height:58.65pt;width:13.3pt;z-index:251675648;mso-width-relative:page;mso-height-relative:page;" fillcolor="#FFFFFF" filled="t" stroked="f" coordsize="21600,21600" o:gfxdata="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EzKLZ1AAAAAcBAAAPAAAAAAAAAAEA&#10;IAAAACIAAABkcnMvZG93bnJldi54bWxQSwECFAAUAAAACACHTuJAFmqUixMCAAD3AwAADgAAAAAA&#10;AAABACAAAAAjAQAAZHJzL2Uyb0RvYy54bWxQSwUGAAAAAAYABgBZAQAAqAUAAAAA&#10;">
                <v:fill on="t" focussize="0,0"/>
                <v:stroke on="f" miterlimit="8" joinstyle="miter"/>
                <v:imagedata o:title=""/>
                <o:lock v:ext="edit" aspectratio="f"/>
                <v:textbox inset="0mm,0mm,0mm,0mm" style="layout-flow:vertical;mso-layout-flow-alt:bottom-to-top;">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v:textbox>
              </v:shape>
            </w:pict>
          </mc:Fallback>
        </mc:AlternateContent>
      </w:r>
      <w:r>
        <w:rPr>
          <w:szCs w:val="21"/>
        </w:rPr>
        <mc:AlternateContent>
          <mc:Choice Requires="wps">
            <w:drawing>
              <wp:anchor distT="0" distB="0" distL="114300" distR="114300" simplePos="0" relativeHeight="251674624" behindDoc="0" locked="0" layoutInCell="1" allowOverlap="1">
                <wp:simplePos x="0" y="0"/>
                <wp:positionH relativeFrom="column">
                  <wp:posOffset>4770755</wp:posOffset>
                </wp:positionH>
                <wp:positionV relativeFrom="paragraph">
                  <wp:posOffset>2589530</wp:posOffset>
                </wp:positionV>
                <wp:extent cx="1009650" cy="142240"/>
                <wp:effectExtent l="0" t="0" r="0" b="0"/>
                <wp:wrapNone/>
                <wp:docPr id="2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09650" cy="142240"/>
                        </a:xfrm>
                        <a:prstGeom prst="rect">
                          <a:avLst/>
                        </a:prstGeom>
                        <a:solidFill>
                          <a:srgbClr val="FFFFFF"/>
                        </a:solidFill>
                        <a:ln w="9525">
                          <a:noFill/>
                          <a:miter lim="800000"/>
                        </a:ln>
                      </wps:spPr>
                      <wps:txbx>
                        <w:txbxContent>
                          <w:p>
                            <w:pPr>
                              <w:adjustRightInd w:val="0"/>
                              <w:snapToGrid w:val="0"/>
                              <w:jc w:val="right"/>
                              <w:rPr>
                                <w:rFonts w:ascii="Arial" w:hAnsi="Arial" w:cs="Arial"/>
                                <w:sz w:val="16"/>
                                <w:szCs w:val="16"/>
                              </w:rPr>
                            </w:pPr>
                            <w:r>
                              <w:rPr>
                                <w:rFonts w:hint="eastAsia" w:ascii="Arial" w:hAnsi="Arial" w:cs="Arial"/>
                                <w:bCs/>
                                <w:sz w:val="13"/>
                                <w:szCs w:val="13"/>
                              </w:rPr>
                              <w:t>保留时间：（分钟）</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375.65pt;margin-top:203.9pt;height:11.2pt;width:79.5pt;z-index:251674624;mso-width-relative:page;mso-height-relative:page;" fillcolor="#FFFFFF" filled="t" stroked="f" coordsize="21600,21600" o:gfxdata="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D7v2/jZAAAACwEAAA8AAAAA&#10;AAAAAQAgAAAAIgAAAGRycy9kb3ducmV2LnhtbFBLAQIUABQAAAAIAIdO4kAFLWieEwIAAPUDAAAO&#10;AAAAAAAAAAEAIAAAACgBAABkcnMvZTJvRG9jLnhtbFBLBQYAAAAABgAGAFkBAACtBQAAAAA=&#10;">
                <v:fill on="t" focussize="0,0"/>
                <v:stroke on="f" miterlimit="8" joinstyle="miter"/>
                <v:imagedata o:title=""/>
                <o:lock v:ext="edit" aspectratio="f"/>
                <v:textbox inset="0mm,0mm,0mm,0mm">
                  <w:txbxContent>
                    <w:p>
                      <w:pPr>
                        <w:adjustRightInd w:val="0"/>
                        <w:snapToGrid w:val="0"/>
                        <w:jc w:val="right"/>
                        <w:rPr>
                          <w:rFonts w:ascii="Arial" w:hAnsi="Arial" w:cs="Arial"/>
                          <w:sz w:val="16"/>
                          <w:szCs w:val="16"/>
                        </w:rPr>
                      </w:pPr>
                      <w:r>
                        <w:rPr>
                          <w:rFonts w:hint="eastAsia" w:ascii="Arial" w:hAnsi="Arial" w:cs="Arial"/>
                          <w:bCs/>
                          <w:sz w:val="13"/>
                          <w:szCs w:val="13"/>
                        </w:rPr>
                        <w:t>保留时间：（分钟）</w:t>
                      </w:r>
                    </w:p>
                  </w:txbxContent>
                </v:textbox>
              </v:shape>
            </w:pict>
          </mc:Fallback>
        </mc:AlternateContent>
      </w:r>
      <w:r>
        <w:rPr>
          <w:szCs w:val="21"/>
        </w:rPr>
        <mc:AlternateContent>
          <mc:Choice Requires="wps">
            <w:drawing>
              <wp:anchor distT="0" distB="0" distL="114300" distR="114300" simplePos="0" relativeHeight="251673600" behindDoc="0" locked="0" layoutInCell="1" allowOverlap="1">
                <wp:simplePos x="0" y="0"/>
                <wp:positionH relativeFrom="column">
                  <wp:posOffset>3133090</wp:posOffset>
                </wp:positionH>
                <wp:positionV relativeFrom="paragraph">
                  <wp:posOffset>1743075</wp:posOffset>
                </wp:positionV>
                <wp:extent cx="1009650" cy="142240"/>
                <wp:effectExtent l="0" t="0" r="0" b="0"/>
                <wp:wrapNone/>
                <wp:docPr id="2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09650" cy="142240"/>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11、12、13：分流</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46.7pt;margin-top:137.25pt;height:11.2pt;width:79.5pt;z-index:251673600;mso-width-relative:page;mso-height-relative:page;" fillcolor="#FFFFFF" filled="t" stroked="f" coordsize="21600,21600" o:gfxdata="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qGXA7doAAAALAQAADwAA&#10;AAAAAAABACAAAAAiAAAAZHJzL2Rvd25yZXYueG1sUEsBAhQAFAAAAAgAh07iQDdynnoUAgAA9QMA&#10;AA4AAAAAAAAAAQAgAAAAKQEAAGRycy9lMm9Eb2MueG1sUEsFBgAAAAAGAAYAWQEAAK8FAAAAAA==&#10;">
                <v:fill on="t" focussize="0,0"/>
                <v:stroke on="f" miterlimit="8" joinstyle="miter"/>
                <v:imagedata o:title=""/>
                <o:lock v:ext="edit" aspectratio="f"/>
                <v:textbox inset="0mm,0mm,0mm,0mm">
                  <w:txbxContent>
                    <w:p>
                      <w:pPr>
                        <w:adjustRightInd w:val="0"/>
                        <w:snapToGrid w:val="0"/>
                        <w:jc w:val="center"/>
                        <w:rPr>
                          <w:rFonts w:ascii="Arial" w:hAnsi="Arial" w:cs="Arial"/>
                          <w:sz w:val="16"/>
                          <w:szCs w:val="16"/>
                        </w:rPr>
                      </w:pPr>
                      <w:r>
                        <w:rPr>
                          <w:rFonts w:hint="eastAsia" w:ascii="Arial" w:hAnsi="Arial" w:cs="Arial"/>
                          <w:bCs/>
                          <w:sz w:val="13"/>
                          <w:szCs w:val="13"/>
                        </w:rPr>
                        <w:t>11、12、13：分流</w:t>
                      </w:r>
                    </w:p>
                  </w:txbxContent>
                </v:textbox>
              </v:shape>
            </w:pict>
          </mc:Fallback>
        </mc:AlternateContent>
      </w:r>
      <w:r>
        <w:rPr>
          <w:szCs w:val="21"/>
        </w:rPr>
        <w:drawing>
          <wp:inline distT="0" distB="0" distL="0" distR="0">
            <wp:extent cx="5840095" cy="2820670"/>
            <wp:effectExtent l="0" t="0" r="8255" b="0"/>
            <wp:docPr id="15" name="图片 15" descr="C:\Users\sl\AppData\Local\Temp\FineReader12.00\media\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sl\AppData\Local\Temp\FineReader12.00\media\image7.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5840095" cy="2820670"/>
                    </a:xfrm>
                    <a:prstGeom prst="rect">
                      <a:avLst/>
                    </a:prstGeom>
                    <a:noFill/>
                    <a:ln>
                      <a:noFill/>
                    </a:ln>
                  </pic:spPr>
                </pic:pic>
              </a:graphicData>
            </a:graphic>
          </wp:inline>
        </w:drawing>
      </w:r>
    </w:p>
    <w:p>
      <w:pPr>
        <w:jc w:val="center"/>
        <w:rPr>
          <w:szCs w:val="21"/>
        </w:rPr>
      </w:pPr>
      <w:r>
        <w:rPr>
          <w:b/>
          <w:bCs/>
          <w:szCs w:val="21"/>
        </w:rPr>
        <w:t>d）18种</w:t>
      </w:r>
      <w:r>
        <w:rPr>
          <w:rFonts w:hint="eastAsia"/>
          <w:b/>
          <w:bCs/>
          <w:szCs w:val="21"/>
          <w:lang w:eastAsia="zh-CN"/>
        </w:rPr>
        <w:t>PAHs</w:t>
      </w:r>
      <w:r>
        <w:rPr>
          <w:b/>
          <w:bCs/>
          <w:szCs w:val="21"/>
        </w:rPr>
        <w:t>的ZB-PAH（20 m）分离结果</w:t>
      </w:r>
    </w:p>
    <w:p>
      <w:pPr>
        <w:shd w:val="clear"/>
        <w:spacing w:before="156" w:beforeLines="50" w:after="156" w:afterLines="50"/>
        <w:jc w:val="center"/>
        <w:outlineLvl w:val="3"/>
        <w:rPr>
          <w:b/>
          <w:bCs/>
          <w:color w:val="000000"/>
          <w:kern w:val="0"/>
          <w:szCs w:val="21"/>
          <w:shd w:val="clear" w:color="auto" w:fill="FFFFFF"/>
          <w:lang w:val="fr-FR"/>
        </w:rPr>
      </w:pPr>
      <w:r>
        <w:rPr>
          <w:b/>
          <w:bCs/>
          <w:color w:val="000000"/>
          <w:kern w:val="0"/>
          <w:szCs w:val="21"/>
          <w:shd w:val="clear" w:color="auto" w:fill="FFFFFF"/>
          <w:lang w:val="fr-FR"/>
        </w:rPr>
        <w:t>图A.1</w:t>
      </w:r>
      <w:r>
        <w:rPr>
          <w:rFonts w:hint="eastAsia"/>
          <w:b/>
          <w:bCs/>
          <w:color w:val="000000"/>
          <w:kern w:val="0"/>
          <w:szCs w:val="21"/>
          <w:shd w:val="clear" w:color="auto" w:fill="FFFFFF"/>
          <w:lang w:val="en-US" w:eastAsia="zh-CN"/>
        </w:rPr>
        <w:t xml:space="preserve"> </w:t>
      </w:r>
      <w:r>
        <w:rPr>
          <w:b/>
          <w:bCs/>
          <w:color w:val="000000"/>
          <w:kern w:val="0"/>
          <w:szCs w:val="21"/>
          <w:shd w:val="clear" w:color="auto" w:fill="FFFFFF"/>
          <w:lang w:val="fr-FR"/>
        </w:rPr>
        <w:t>每个合适</w:t>
      </w:r>
      <w:r>
        <w:rPr>
          <w:rFonts w:hint="eastAsia"/>
          <w:b/>
          <w:bCs/>
          <w:color w:val="000000"/>
          <w:kern w:val="0"/>
          <w:szCs w:val="21"/>
          <w:shd w:val="clear" w:color="auto" w:fill="FFFFFF"/>
          <w:lang w:val="en-US" w:eastAsia="zh-CN"/>
        </w:rPr>
        <w:t>的</w:t>
      </w:r>
      <w:r>
        <w:rPr>
          <w:rFonts w:hint="eastAsia"/>
          <w:b/>
          <w:bCs/>
          <w:color w:val="000000"/>
          <w:kern w:val="0"/>
          <w:szCs w:val="21"/>
          <w:shd w:val="clear" w:color="auto" w:fill="FFFFFF"/>
          <w:lang w:val="fr-FR" w:eastAsia="zh-CN"/>
        </w:rPr>
        <w:t>PAHs</w:t>
      </w:r>
      <w:r>
        <w:rPr>
          <w:b/>
          <w:bCs/>
          <w:color w:val="000000"/>
          <w:kern w:val="0"/>
          <w:szCs w:val="21"/>
          <w:shd w:val="clear" w:color="auto" w:fill="FFFFFF"/>
          <w:lang w:val="fr-FR"/>
        </w:rPr>
        <w:t>色谱柱的</w:t>
      </w:r>
      <w:r>
        <w:rPr>
          <w:rFonts w:hint="eastAsia"/>
          <w:b/>
          <w:bCs/>
          <w:color w:val="000000"/>
          <w:kern w:val="0"/>
          <w:szCs w:val="21"/>
          <w:shd w:val="clear" w:color="auto" w:fill="FFFFFF"/>
          <w:lang w:val="fr-FR" w:eastAsia="zh-CN"/>
        </w:rPr>
        <w:t>PAHs</w:t>
      </w:r>
      <w:r>
        <w:rPr>
          <w:b/>
          <w:bCs/>
          <w:color w:val="000000"/>
          <w:kern w:val="0"/>
          <w:szCs w:val="21"/>
          <w:shd w:val="clear" w:color="auto" w:fill="FFFFFF"/>
          <w:lang w:val="fr-FR"/>
        </w:rPr>
        <w:t>总离子色谱图示例（从萘到苯并[ghi]苝）</w:t>
      </w:r>
    </w:p>
    <w:p>
      <w:pPr>
        <w:spacing w:before="156" w:beforeLines="50" w:after="156" w:afterLines="50"/>
        <w:jc w:val="center"/>
        <w:rPr>
          <w:b/>
          <w:bCs/>
          <w:szCs w:val="21"/>
        </w:rPr>
      </w:pPr>
      <w:r>
        <w:rPr>
          <w:b/>
          <w:bCs/>
          <w:szCs w:val="21"/>
        </w:rPr>
        <w:t>表A.3</w:t>
      </w:r>
      <w:r>
        <w:rPr>
          <w:rFonts w:hint="eastAsia"/>
          <w:b/>
          <w:bCs/>
          <w:szCs w:val="21"/>
          <w:lang w:val="en-US" w:eastAsia="zh-CN"/>
        </w:rPr>
        <w:t xml:space="preserve"> </w:t>
      </w:r>
      <w:r>
        <w:rPr>
          <w:b/>
          <w:bCs/>
          <w:szCs w:val="21"/>
        </w:rPr>
        <w:t>每种PAH物质和芳环数量信息</w:t>
      </w:r>
    </w:p>
    <w:tbl>
      <w:tblPr>
        <w:tblStyle w:val="44"/>
        <w:tblW w:w="9468" w:type="dxa"/>
        <w:tblInd w:w="0" w:type="dxa"/>
        <w:tblLayout w:type="fixed"/>
        <w:tblCellMar>
          <w:top w:w="0" w:type="dxa"/>
          <w:left w:w="57" w:type="dxa"/>
          <w:bottom w:w="0" w:type="dxa"/>
          <w:right w:w="57" w:type="dxa"/>
        </w:tblCellMar>
      </w:tblPr>
      <w:tblGrid>
        <w:gridCol w:w="414"/>
        <w:gridCol w:w="2570"/>
        <w:gridCol w:w="455"/>
        <w:gridCol w:w="2739"/>
        <w:gridCol w:w="445"/>
        <w:gridCol w:w="2845"/>
      </w:tblGrid>
      <w:tr>
        <w:tblPrEx>
          <w:tblLayout w:type="fixed"/>
          <w:tblCellMar>
            <w:top w:w="0" w:type="dxa"/>
            <w:left w:w="57" w:type="dxa"/>
            <w:bottom w:w="0" w:type="dxa"/>
            <w:right w:w="57" w:type="dxa"/>
          </w:tblCellMar>
        </w:tblPrEx>
        <w:tc>
          <w:tcPr>
            <w:tcW w:w="414" w:type="dxa"/>
            <w:tcBorders>
              <w:top w:val="single" w:color="auto" w:sz="4" w:space="0"/>
              <w:left w:val="single" w:color="auto" w:sz="4" w:space="0"/>
            </w:tcBorders>
            <w:shd w:val="clear" w:color="auto" w:fill="FFFFFF"/>
            <w:vAlign w:val="center"/>
          </w:tcPr>
          <w:p>
            <w:pPr>
              <w:jc w:val="center"/>
              <w:rPr>
                <w:szCs w:val="21"/>
              </w:rPr>
            </w:pPr>
            <w:r>
              <w:rPr>
                <w:szCs w:val="21"/>
              </w:rPr>
              <w:t>1</w:t>
            </w:r>
          </w:p>
        </w:tc>
        <w:tc>
          <w:tcPr>
            <w:tcW w:w="2570" w:type="dxa"/>
            <w:tcBorders>
              <w:top w:val="single" w:color="auto" w:sz="4" w:space="0"/>
              <w:left w:val="single" w:color="auto" w:sz="4" w:space="0"/>
            </w:tcBorders>
            <w:shd w:val="clear" w:color="auto" w:fill="FFFFFF"/>
            <w:vAlign w:val="center"/>
          </w:tcPr>
          <w:p>
            <w:pPr>
              <w:jc w:val="center"/>
              <w:rPr>
                <w:szCs w:val="21"/>
              </w:rPr>
            </w:pPr>
            <w:r>
              <w:rPr>
                <w:szCs w:val="21"/>
                <w:lang w:val="zh-CN"/>
              </w:rPr>
              <w:t>萘（</w:t>
            </w:r>
            <w:r>
              <w:rPr>
                <w:szCs w:val="21"/>
              </w:rPr>
              <w:t>2</w:t>
            </w:r>
            <w:r>
              <w:rPr>
                <w:szCs w:val="21"/>
                <w:lang w:val="zh-CN"/>
              </w:rPr>
              <w:t>）</w:t>
            </w:r>
            <w:r>
              <w:rPr>
                <w:szCs w:val="21"/>
                <w:vertAlign w:val="superscript"/>
              </w:rPr>
              <w:t>a</w:t>
            </w:r>
          </w:p>
        </w:tc>
        <w:tc>
          <w:tcPr>
            <w:tcW w:w="455" w:type="dxa"/>
            <w:tcBorders>
              <w:top w:val="single" w:color="auto" w:sz="4" w:space="0"/>
              <w:left w:val="single" w:color="auto" w:sz="4" w:space="0"/>
            </w:tcBorders>
            <w:shd w:val="clear" w:color="auto" w:fill="FFFFFF"/>
            <w:vAlign w:val="center"/>
          </w:tcPr>
          <w:p>
            <w:pPr>
              <w:jc w:val="center"/>
              <w:rPr>
                <w:szCs w:val="21"/>
              </w:rPr>
            </w:pPr>
            <w:r>
              <w:rPr>
                <w:szCs w:val="21"/>
              </w:rPr>
              <w:t>7</w:t>
            </w:r>
          </w:p>
        </w:tc>
        <w:tc>
          <w:tcPr>
            <w:tcW w:w="2739" w:type="dxa"/>
            <w:tcBorders>
              <w:top w:val="single" w:color="auto" w:sz="4" w:space="0"/>
              <w:left w:val="single" w:color="auto" w:sz="4" w:space="0"/>
            </w:tcBorders>
            <w:shd w:val="clear" w:color="auto" w:fill="FFFFFF"/>
            <w:vAlign w:val="center"/>
          </w:tcPr>
          <w:p>
            <w:pPr>
              <w:jc w:val="center"/>
              <w:rPr>
                <w:szCs w:val="21"/>
              </w:rPr>
            </w:pPr>
            <w:r>
              <w:rPr>
                <w:szCs w:val="21"/>
              </w:rPr>
              <w:t>荧蒽（3</w:t>
            </w:r>
            <w:r>
              <w:rPr>
                <w:rFonts w:hint="eastAsia"/>
                <w:szCs w:val="21"/>
                <w:lang w:eastAsia="zh-CN"/>
              </w:rPr>
              <w:t>，</w:t>
            </w:r>
            <w:r>
              <w:rPr>
                <w:szCs w:val="21"/>
              </w:rPr>
              <w:t>5）</w:t>
            </w:r>
          </w:p>
        </w:tc>
        <w:tc>
          <w:tcPr>
            <w:tcW w:w="445" w:type="dxa"/>
            <w:tcBorders>
              <w:top w:val="single" w:color="auto" w:sz="4" w:space="0"/>
              <w:left w:val="single" w:color="auto" w:sz="4" w:space="0"/>
            </w:tcBorders>
            <w:shd w:val="clear" w:color="auto" w:fill="FFFFFF"/>
            <w:vAlign w:val="center"/>
          </w:tcPr>
          <w:p>
            <w:pPr>
              <w:jc w:val="center"/>
              <w:rPr>
                <w:szCs w:val="21"/>
              </w:rPr>
            </w:pPr>
            <w:r>
              <w:rPr>
                <w:szCs w:val="21"/>
              </w:rPr>
              <w:t>13</w:t>
            </w:r>
          </w:p>
        </w:tc>
        <w:tc>
          <w:tcPr>
            <w:tcW w:w="284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苯并[k]荧蒽（4</w:t>
            </w:r>
            <w:r>
              <w:rPr>
                <w:rFonts w:hint="eastAsia"/>
                <w:szCs w:val="21"/>
                <w:lang w:eastAsia="zh-CN"/>
              </w:rPr>
              <w:t>，</w:t>
            </w:r>
            <w:r>
              <w:rPr>
                <w:szCs w:val="21"/>
              </w:rPr>
              <w:t>5）</w:t>
            </w:r>
          </w:p>
        </w:tc>
      </w:tr>
      <w:tr>
        <w:tblPrEx>
          <w:tblLayout w:type="fixed"/>
          <w:tblCellMar>
            <w:top w:w="0" w:type="dxa"/>
            <w:left w:w="57" w:type="dxa"/>
            <w:bottom w:w="0" w:type="dxa"/>
            <w:right w:w="57" w:type="dxa"/>
          </w:tblCellMar>
        </w:tblPrEx>
        <w:tc>
          <w:tcPr>
            <w:tcW w:w="414" w:type="dxa"/>
            <w:tcBorders>
              <w:top w:val="single" w:color="auto" w:sz="4" w:space="0"/>
              <w:left w:val="single" w:color="auto" w:sz="4" w:space="0"/>
            </w:tcBorders>
            <w:shd w:val="clear" w:color="auto" w:fill="FFFFFF"/>
            <w:vAlign w:val="center"/>
          </w:tcPr>
          <w:p>
            <w:pPr>
              <w:jc w:val="center"/>
              <w:rPr>
                <w:szCs w:val="21"/>
              </w:rPr>
            </w:pPr>
            <w:r>
              <w:rPr>
                <w:szCs w:val="21"/>
              </w:rPr>
              <w:t>2</w:t>
            </w:r>
          </w:p>
        </w:tc>
        <w:tc>
          <w:tcPr>
            <w:tcW w:w="2570" w:type="dxa"/>
            <w:tcBorders>
              <w:top w:val="single" w:color="auto" w:sz="4" w:space="0"/>
              <w:left w:val="single" w:color="auto" w:sz="4" w:space="0"/>
            </w:tcBorders>
            <w:shd w:val="clear" w:color="auto" w:fill="FFFFFF"/>
            <w:vAlign w:val="center"/>
          </w:tcPr>
          <w:p>
            <w:pPr>
              <w:jc w:val="center"/>
              <w:rPr>
                <w:szCs w:val="21"/>
              </w:rPr>
            </w:pPr>
            <w:r>
              <w:rPr>
                <w:szCs w:val="21"/>
              </w:rPr>
              <w:t>苊烯（2</w:t>
            </w:r>
            <w:r>
              <w:rPr>
                <w:rFonts w:hint="eastAsia"/>
                <w:szCs w:val="21"/>
                <w:lang w:eastAsia="zh-CN"/>
              </w:rPr>
              <w:t>，</w:t>
            </w:r>
            <w:r>
              <w:rPr>
                <w:szCs w:val="21"/>
              </w:rPr>
              <w:t>5）</w:t>
            </w:r>
          </w:p>
        </w:tc>
        <w:tc>
          <w:tcPr>
            <w:tcW w:w="455" w:type="dxa"/>
            <w:tcBorders>
              <w:top w:val="single" w:color="auto" w:sz="4" w:space="0"/>
              <w:left w:val="single" w:color="auto" w:sz="4" w:space="0"/>
            </w:tcBorders>
            <w:shd w:val="clear" w:color="auto" w:fill="FFFFFF"/>
            <w:vAlign w:val="center"/>
          </w:tcPr>
          <w:p>
            <w:pPr>
              <w:jc w:val="center"/>
              <w:rPr>
                <w:szCs w:val="21"/>
              </w:rPr>
            </w:pPr>
            <w:r>
              <w:rPr>
                <w:szCs w:val="21"/>
              </w:rPr>
              <w:t>8</w:t>
            </w:r>
          </w:p>
        </w:tc>
        <w:tc>
          <w:tcPr>
            <w:tcW w:w="2739" w:type="dxa"/>
            <w:tcBorders>
              <w:top w:val="single" w:color="auto" w:sz="4" w:space="0"/>
              <w:left w:val="single" w:color="auto" w:sz="4" w:space="0"/>
            </w:tcBorders>
            <w:shd w:val="clear" w:color="auto" w:fill="FFFFFF"/>
            <w:vAlign w:val="center"/>
          </w:tcPr>
          <w:p>
            <w:pPr>
              <w:jc w:val="center"/>
              <w:rPr>
                <w:szCs w:val="21"/>
              </w:rPr>
            </w:pPr>
            <w:r>
              <w:rPr>
                <w:szCs w:val="21"/>
              </w:rPr>
              <w:t>芘（4）</w:t>
            </w:r>
          </w:p>
        </w:tc>
        <w:tc>
          <w:tcPr>
            <w:tcW w:w="445" w:type="dxa"/>
            <w:tcBorders>
              <w:top w:val="single" w:color="auto" w:sz="4" w:space="0"/>
              <w:left w:val="single" w:color="auto" w:sz="4" w:space="0"/>
            </w:tcBorders>
            <w:shd w:val="clear" w:color="auto" w:fill="FFFFFF"/>
            <w:vAlign w:val="center"/>
          </w:tcPr>
          <w:p>
            <w:pPr>
              <w:jc w:val="center"/>
              <w:rPr>
                <w:szCs w:val="21"/>
              </w:rPr>
            </w:pPr>
            <w:r>
              <w:rPr>
                <w:szCs w:val="21"/>
              </w:rPr>
              <w:t>14</w:t>
            </w:r>
          </w:p>
        </w:tc>
        <w:tc>
          <w:tcPr>
            <w:tcW w:w="284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苯并[a]芘（5）</w:t>
            </w:r>
          </w:p>
        </w:tc>
      </w:tr>
      <w:tr>
        <w:tblPrEx>
          <w:tblLayout w:type="fixed"/>
          <w:tblCellMar>
            <w:top w:w="0" w:type="dxa"/>
            <w:left w:w="57" w:type="dxa"/>
            <w:bottom w:w="0" w:type="dxa"/>
            <w:right w:w="57" w:type="dxa"/>
          </w:tblCellMar>
        </w:tblPrEx>
        <w:tc>
          <w:tcPr>
            <w:tcW w:w="414" w:type="dxa"/>
            <w:tcBorders>
              <w:top w:val="single" w:color="auto" w:sz="4" w:space="0"/>
              <w:left w:val="single" w:color="auto" w:sz="4" w:space="0"/>
            </w:tcBorders>
            <w:shd w:val="clear" w:color="auto" w:fill="FFFFFF"/>
            <w:vAlign w:val="center"/>
          </w:tcPr>
          <w:p>
            <w:pPr>
              <w:jc w:val="center"/>
              <w:rPr>
                <w:szCs w:val="21"/>
              </w:rPr>
            </w:pPr>
            <w:r>
              <w:rPr>
                <w:szCs w:val="21"/>
              </w:rPr>
              <w:t>3</w:t>
            </w:r>
          </w:p>
        </w:tc>
        <w:tc>
          <w:tcPr>
            <w:tcW w:w="2570" w:type="dxa"/>
            <w:tcBorders>
              <w:top w:val="single" w:color="auto" w:sz="4" w:space="0"/>
              <w:left w:val="single" w:color="auto" w:sz="4" w:space="0"/>
            </w:tcBorders>
            <w:shd w:val="clear" w:color="auto" w:fill="FFFFFF"/>
            <w:vAlign w:val="center"/>
          </w:tcPr>
          <w:p>
            <w:pPr>
              <w:jc w:val="center"/>
              <w:rPr>
                <w:szCs w:val="21"/>
              </w:rPr>
            </w:pPr>
            <w:r>
              <w:rPr>
                <w:szCs w:val="21"/>
              </w:rPr>
              <w:t>苊（2</w:t>
            </w:r>
            <w:r>
              <w:rPr>
                <w:rFonts w:hint="eastAsia"/>
                <w:szCs w:val="21"/>
                <w:lang w:eastAsia="zh-CN"/>
              </w:rPr>
              <w:t>，</w:t>
            </w:r>
            <w:r>
              <w:rPr>
                <w:szCs w:val="21"/>
              </w:rPr>
              <w:t>5）</w:t>
            </w:r>
          </w:p>
        </w:tc>
        <w:tc>
          <w:tcPr>
            <w:tcW w:w="455" w:type="dxa"/>
            <w:tcBorders>
              <w:top w:val="single" w:color="auto" w:sz="4" w:space="0"/>
              <w:left w:val="single" w:color="auto" w:sz="4" w:space="0"/>
            </w:tcBorders>
            <w:shd w:val="clear" w:color="auto" w:fill="FFFFFF"/>
            <w:vAlign w:val="center"/>
          </w:tcPr>
          <w:p>
            <w:pPr>
              <w:jc w:val="center"/>
              <w:rPr>
                <w:szCs w:val="21"/>
              </w:rPr>
            </w:pPr>
            <w:r>
              <w:rPr>
                <w:szCs w:val="21"/>
              </w:rPr>
              <w:t>9</w:t>
            </w:r>
          </w:p>
        </w:tc>
        <w:tc>
          <w:tcPr>
            <w:tcW w:w="2739" w:type="dxa"/>
            <w:tcBorders>
              <w:top w:val="single" w:color="auto" w:sz="4" w:space="0"/>
              <w:left w:val="single" w:color="auto" w:sz="4" w:space="0"/>
            </w:tcBorders>
            <w:shd w:val="clear" w:color="auto" w:fill="FFFFFF"/>
            <w:vAlign w:val="center"/>
          </w:tcPr>
          <w:p>
            <w:pPr>
              <w:jc w:val="center"/>
              <w:rPr>
                <w:szCs w:val="21"/>
              </w:rPr>
            </w:pPr>
            <w:r>
              <w:rPr>
                <w:szCs w:val="21"/>
              </w:rPr>
              <w:t>苯并[a]蒽（4）</w:t>
            </w:r>
          </w:p>
        </w:tc>
        <w:tc>
          <w:tcPr>
            <w:tcW w:w="445" w:type="dxa"/>
            <w:tcBorders>
              <w:top w:val="single" w:color="auto" w:sz="4" w:space="0"/>
              <w:left w:val="single" w:color="auto" w:sz="4" w:space="0"/>
            </w:tcBorders>
            <w:shd w:val="clear" w:color="auto" w:fill="FFFFFF"/>
            <w:vAlign w:val="center"/>
          </w:tcPr>
          <w:p>
            <w:pPr>
              <w:jc w:val="center"/>
              <w:rPr>
                <w:szCs w:val="21"/>
              </w:rPr>
            </w:pPr>
            <w:r>
              <w:rPr>
                <w:szCs w:val="21"/>
              </w:rPr>
              <w:t>15</w:t>
            </w:r>
          </w:p>
        </w:tc>
        <w:tc>
          <w:tcPr>
            <w:tcW w:w="284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苯并[e]芘（5）</w:t>
            </w:r>
          </w:p>
        </w:tc>
      </w:tr>
      <w:tr>
        <w:tblPrEx>
          <w:tblLayout w:type="fixed"/>
          <w:tblCellMar>
            <w:top w:w="0" w:type="dxa"/>
            <w:left w:w="57" w:type="dxa"/>
            <w:bottom w:w="0" w:type="dxa"/>
            <w:right w:w="57" w:type="dxa"/>
          </w:tblCellMar>
        </w:tblPrEx>
        <w:tc>
          <w:tcPr>
            <w:tcW w:w="414" w:type="dxa"/>
            <w:tcBorders>
              <w:top w:val="single" w:color="auto" w:sz="4" w:space="0"/>
              <w:left w:val="single" w:color="auto" w:sz="4" w:space="0"/>
            </w:tcBorders>
            <w:shd w:val="clear" w:color="auto" w:fill="FFFFFF"/>
            <w:vAlign w:val="center"/>
          </w:tcPr>
          <w:p>
            <w:pPr>
              <w:jc w:val="center"/>
              <w:rPr>
                <w:szCs w:val="21"/>
              </w:rPr>
            </w:pPr>
            <w:r>
              <w:rPr>
                <w:szCs w:val="21"/>
              </w:rPr>
              <w:t>4</w:t>
            </w:r>
          </w:p>
        </w:tc>
        <w:tc>
          <w:tcPr>
            <w:tcW w:w="2570" w:type="dxa"/>
            <w:tcBorders>
              <w:top w:val="single" w:color="auto" w:sz="4" w:space="0"/>
              <w:left w:val="single" w:color="auto" w:sz="4" w:space="0"/>
            </w:tcBorders>
            <w:shd w:val="clear" w:color="auto" w:fill="FFFFFF"/>
            <w:vAlign w:val="center"/>
          </w:tcPr>
          <w:p>
            <w:pPr>
              <w:jc w:val="center"/>
              <w:rPr>
                <w:szCs w:val="21"/>
              </w:rPr>
            </w:pPr>
            <w:r>
              <w:rPr>
                <w:szCs w:val="21"/>
              </w:rPr>
              <w:t>芴（2</w:t>
            </w:r>
            <w:r>
              <w:rPr>
                <w:rFonts w:hint="eastAsia"/>
                <w:szCs w:val="21"/>
                <w:lang w:eastAsia="zh-CN"/>
              </w:rPr>
              <w:t>，</w:t>
            </w:r>
            <w:r>
              <w:rPr>
                <w:szCs w:val="21"/>
              </w:rPr>
              <w:t>5）</w:t>
            </w:r>
          </w:p>
        </w:tc>
        <w:tc>
          <w:tcPr>
            <w:tcW w:w="455" w:type="dxa"/>
            <w:tcBorders>
              <w:top w:val="single" w:color="auto" w:sz="4" w:space="0"/>
              <w:left w:val="single" w:color="auto" w:sz="4" w:space="0"/>
            </w:tcBorders>
            <w:shd w:val="clear" w:color="auto" w:fill="FFFFFF"/>
            <w:vAlign w:val="center"/>
          </w:tcPr>
          <w:p>
            <w:pPr>
              <w:jc w:val="center"/>
              <w:rPr>
                <w:szCs w:val="21"/>
              </w:rPr>
            </w:pPr>
            <w:r>
              <w:rPr>
                <w:szCs w:val="21"/>
              </w:rPr>
              <w:t>10</w:t>
            </w:r>
          </w:p>
        </w:tc>
        <w:tc>
          <w:tcPr>
            <w:tcW w:w="2739" w:type="dxa"/>
            <w:tcBorders>
              <w:top w:val="single" w:color="auto" w:sz="4" w:space="0"/>
              <w:left w:val="single" w:color="auto" w:sz="4" w:space="0"/>
            </w:tcBorders>
            <w:shd w:val="clear" w:color="auto" w:fill="FFFFFF"/>
            <w:vAlign w:val="center"/>
          </w:tcPr>
          <w:p>
            <w:pPr>
              <w:jc w:val="center"/>
              <w:rPr>
                <w:szCs w:val="21"/>
              </w:rPr>
            </w:pPr>
            <w:r>
              <w:rPr>
                <w:rFonts w:hint="eastAsia"/>
                <w:szCs w:val="21"/>
                <w:lang w:eastAsia="zh-CN"/>
              </w:rPr>
              <w:t>䓛</w:t>
            </w:r>
            <w:r>
              <w:rPr>
                <w:szCs w:val="21"/>
              </w:rPr>
              <w:t>（4）</w:t>
            </w:r>
          </w:p>
        </w:tc>
        <w:tc>
          <w:tcPr>
            <w:tcW w:w="445" w:type="dxa"/>
            <w:tcBorders>
              <w:top w:val="single" w:color="auto" w:sz="4" w:space="0"/>
              <w:left w:val="single" w:color="auto" w:sz="4" w:space="0"/>
            </w:tcBorders>
            <w:shd w:val="clear" w:color="auto" w:fill="FFFFFF"/>
            <w:vAlign w:val="center"/>
          </w:tcPr>
          <w:p>
            <w:pPr>
              <w:jc w:val="center"/>
              <w:rPr>
                <w:szCs w:val="21"/>
              </w:rPr>
            </w:pPr>
            <w:r>
              <w:rPr>
                <w:szCs w:val="21"/>
              </w:rPr>
              <w:t>16</w:t>
            </w:r>
          </w:p>
        </w:tc>
        <w:tc>
          <w:tcPr>
            <w:tcW w:w="284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茚并[1</w:t>
            </w:r>
            <w:r>
              <w:rPr>
                <w:rFonts w:hint="eastAsia"/>
                <w:szCs w:val="21"/>
                <w:lang w:eastAsia="zh-CN"/>
              </w:rPr>
              <w:t>，</w:t>
            </w:r>
            <w:r>
              <w:rPr>
                <w:szCs w:val="21"/>
              </w:rPr>
              <w:t>2</w:t>
            </w:r>
            <w:r>
              <w:rPr>
                <w:rFonts w:hint="eastAsia"/>
                <w:szCs w:val="21"/>
                <w:lang w:eastAsia="zh-CN"/>
              </w:rPr>
              <w:t>，</w:t>
            </w:r>
            <w:r>
              <w:rPr>
                <w:szCs w:val="21"/>
              </w:rPr>
              <w:t>3-cd]芘（5</w:t>
            </w:r>
            <w:r>
              <w:rPr>
                <w:rFonts w:hint="eastAsia"/>
                <w:szCs w:val="21"/>
                <w:lang w:eastAsia="zh-CN"/>
              </w:rPr>
              <w:t>，</w:t>
            </w:r>
            <w:r>
              <w:rPr>
                <w:szCs w:val="21"/>
              </w:rPr>
              <w:t>5）</w:t>
            </w:r>
          </w:p>
        </w:tc>
      </w:tr>
      <w:tr>
        <w:tblPrEx>
          <w:tblLayout w:type="fixed"/>
          <w:tblCellMar>
            <w:top w:w="0" w:type="dxa"/>
            <w:left w:w="57" w:type="dxa"/>
            <w:bottom w:w="0" w:type="dxa"/>
            <w:right w:w="57" w:type="dxa"/>
          </w:tblCellMar>
        </w:tblPrEx>
        <w:tc>
          <w:tcPr>
            <w:tcW w:w="414" w:type="dxa"/>
            <w:tcBorders>
              <w:top w:val="single" w:color="auto" w:sz="4" w:space="0"/>
              <w:left w:val="single" w:color="auto" w:sz="4" w:space="0"/>
            </w:tcBorders>
            <w:shd w:val="clear" w:color="auto" w:fill="FFFFFF"/>
            <w:vAlign w:val="center"/>
          </w:tcPr>
          <w:p>
            <w:pPr>
              <w:jc w:val="center"/>
              <w:rPr>
                <w:szCs w:val="21"/>
              </w:rPr>
            </w:pPr>
            <w:r>
              <w:rPr>
                <w:szCs w:val="21"/>
              </w:rPr>
              <w:t>5</w:t>
            </w:r>
          </w:p>
        </w:tc>
        <w:tc>
          <w:tcPr>
            <w:tcW w:w="2570" w:type="dxa"/>
            <w:tcBorders>
              <w:top w:val="single" w:color="auto" w:sz="4" w:space="0"/>
              <w:left w:val="single" w:color="auto" w:sz="4" w:space="0"/>
            </w:tcBorders>
            <w:shd w:val="clear" w:color="auto" w:fill="FFFFFF"/>
            <w:vAlign w:val="center"/>
          </w:tcPr>
          <w:p>
            <w:pPr>
              <w:jc w:val="center"/>
              <w:rPr>
                <w:szCs w:val="21"/>
              </w:rPr>
            </w:pPr>
            <w:r>
              <w:rPr>
                <w:szCs w:val="21"/>
              </w:rPr>
              <w:t>菲（3）</w:t>
            </w:r>
          </w:p>
        </w:tc>
        <w:tc>
          <w:tcPr>
            <w:tcW w:w="455" w:type="dxa"/>
            <w:tcBorders>
              <w:top w:val="single" w:color="auto" w:sz="4" w:space="0"/>
              <w:left w:val="single" w:color="auto" w:sz="4" w:space="0"/>
            </w:tcBorders>
            <w:shd w:val="clear" w:color="auto" w:fill="FFFFFF"/>
            <w:vAlign w:val="center"/>
          </w:tcPr>
          <w:p>
            <w:pPr>
              <w:jc w:val="center"/>
              <w:rPr>
                <w:szCs w:val="21"/>
              </w:rPr>
            </w:pPr>
            <w:r>
              <w:rPr>
                <w:szCs w:val="21"/>
              </w:rPr>
              <w:t>11</w:t>
            </w:r>
          </w:p>
        </w:tc>
        <w:tc>
          <w:tcPr>
            <w:tcW w:w="2739" w:type="dxa"/>
            <w:tcBorders>
              <w:top w:val="single" w:color="auto" w:sz="4" w:space="0"/>
              <w:left w:val="single" w:color="auto" w:sz="4" w:space="0"/>
            </w:tcBorders>
            <w:shd w:val="clear" w:color="auto" w:fill="FFFFFF"/>
            <w:vAlign w:val="center"/>
          </w:tcPr>
          <w:p>
            <w:pPr>
              <w:jc w:val="center"/>
              <w:rPr>
                <w:szCs w:val="21"/>
              </w:rPr>
            </w:pPr>
            <w:r>
              <w:rPr>
                <w:szCs w:val="21"/>
              </w:rPr>
              <w:t>苯并[b]荧蒽（4</w:t>
            </w:r>
            <w:r>
              <w:rPr>
                <w:rFonts w:hint="eastAsia"/>
                <w:szCs w:val="21"/>
                <w:lang w:eastAsia="zh-CN"/>
              </w:rPr>
              <w:t>，</w:t>
            </w:r>
            <w:r>
              <w:rPr>
                <w:szCs w:val="21"/>
              </w:rPr>
              <w:t>5）</w:t>
            </w:r>
          </w:p>
        </w:tc>
        <w:tc>
          <w:tcPr>
            <w:tcW w:w="445" w:type="dxa"/>
            <w:tcBorders>
              <w:top w:val="single" w:color="auto" w:sz="4" w:space="0"/>
              <w:left w:val="single" w:color="auto" w:sz="4" w:space="0"/>
            </w:tcBorders>
            <w:shd w:val="clear" w:color="auto" w:fill="FFFFFF"/>
            <w:vAlign w:val="center"/>
          </w:tcPr>
          <w:p>
            <w:pPr>
              <w:jc w:val="center"/>
              <w:rPr>
                <w:szCs w:val="21"/>
              </w:rPr>
            </w:pPr>
            <w:r>
              <w:rPr>
                <w:szCs w:val="21"/>
              </w:rPr>
              <w:t>17</w:t>
            </w:r>
          </w:p>
        </w:tc>
        <w:tc>
          <w:tcPr>
            <w:tcW w:w="284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二苯并[a</w:t>
            </w:r>
            <w:r>
              <w:rPr>
                <w:rFonts w:hint="eastAsia"/>
                <w:szCs w:val="21"/>
                <w:lang w:eastAsia="zh-CN"/>
              </w:rPr>
              <w:t>，</w:t>
            </w:r>
            <w:r>
              <w:rPr>
                <w:szCs w:val="21"/>
              </w:rPr>
              <w:t>h]蒽（5）</w:t>
            </w:r>
          </w:p>
        </w:tc>
      </w:tr>
      <w:tr>
        <w:tblPrEx>
          <w:tblLayout w:type="fixed"/>
          <w:tblCellMar>
            <w:top w:w="0" w:type="dxa"/>
            <w:left w:w="57" w:type="dxa"/>
            <w:bottom w:w="0" w:type="dxa"/>
            <w:right w:w="57" w:type="dxa"/>
          </w:tblCellMar>
        </w:tblPrEx>
        <w:tc>
          <w:tcPr>
            <w:tcW w:w="414" w:type="dxa"/>
            <w:tcBorders>
              <w:top w:val="single" w:color="auto" w:sz="4" w:space="0"/>
              <w:left w:val="single" w:color="auto" w:sz="4" w:space="0"/>
            </w:tcBorders>
            <w:shd w:val="clear" w:color="auto" w:fill="FFFFFF"/>
            <w:vAlign w:val="center"/>
          </w:tcPr>
          <w:p>
            <w:pPr>
              <w:jc w:val="center"/>
              <w:rPr>
                <w:szCs w:val="21"/>
              </w:rPr>
            </w:pPr>
            <w:r>
              <w:rPr>
                <w:szCs w:val="21"/>
              </w:rPr>
              <w:t>6</w:t>
            </w:r>
          </w:p>
        </w:tc>
        <w:tc>
          <w:tcPr>
            <w:tcW w:w="2570" w:type="dxa"/>
            <w:tcBorders>
              <w:top w:val="single" w:color="auto" w:sz="4" w:space="0"/>
              <w:left w:val="single" w:color="auto" w:sz="4" w:space="0"/>
            </w:tcBorders>
            <w:shd w:val="clear" w:color="auto" w:fill="FFFFFF"/>
            <w:vAlign w:val="center"/>
          </w:tcPr>
          <w:p>
            <w:pPr>
              <w:jc w:val="center"/>
              <w:rPr>
                <w:szCs w:val="21"/>
              </w:rPr>
            </w:pPr>
            <w:r>
              <w:rPr>
                <w:szCs w:val="21"/>
              </w:rPr>
              <w:t>蒽（3）</w:t>
            </w:r>
          </w:p>
        </w:tc>
        <w:tc>
          <w:tcPr>
            <w:tcW w:w="455" w:type="dxa"/>
            <w:tcBorders>
              <w:top w:val="single" w:color="auto" w:sz="4" w:space="0"/>
              <w:left w:val="single" w:color="auto" w:sz="4" w:space="0"/>
            </w:tcBorders>
            <w:shd w:val="clear" w:color="auto" w:fill="FFFFFF"/>
            <w:vAlign w:val="center"/>
          </w:tcPr>
          <w:p>
            <w:pPr>
              <w:jc w:val="center"/>
              <w:rPr>
                <w:szCs w:val="21"/>
              </w:rPr>
            </w:pPr>
            <w:r>
              <w:rPr>
                <w:szCs w:val="21"/>
              </w:rPr>
              <w:t>12</w:t>
            </w:r>
          </w:p>
        </w:tc>
        <w:tc>
          <w:tcPr>
            <w:tcW w:w="2739" w:type="dxa"/>
            <w:tcBorders>
              <w:top w:val="single" w:color="auto" w:sz="4" w:space="0"/>
              <w:left w:val="single" w:color="auto" w:sz="4" w:space="0"/>
            </w:tcBorders>
            <w:shd w:val="clear" w:color="auto" w:fill="FFFFFF"/>
            <w:vAlign w:val="center"/>
          </w:tcPr>
          <w:p>
            <w:pPr>
              <w:jc w:val="center"/>
              <w:rPr>
                <w:szCs w:val="21"/>
              </w:rPr>
            </w:pPr>
            <w:r>
              <w:rPr>
                <w:szCs w:val="21"/>
              </w:rPr>
              <w:t>苯并[j]荧蒽（4.5）</w:t>
            </w:r>
          </w:p>
        </w:tc>
        <w:tc>
          <w:tcPr>
            <w:tcW w:w="445" w:type="dxa"/>
            <w:tcBorders>
              <w:top w:val="single" w:color="auto" w:sz="4" w:space="0"/>
              <w:left w:val="single" w:color="auto" w:sz="4" w:space="0"/>
            </w:tcBorders>
            <w:shd w:val="clear" w:color="auto" w:fill="FFFFFF"/>
            <w:vAlign w:val="center"/>
          </w:tcPr>
          <w:p>
            <w:pPr>
              <w:jc w:val="center"/>
              <w:rPr>
                <w:szCs w:val="21"/>
              </w:rPr>
            </w:pPr>
            <w:r>
              <w:rPr>
                <w:szCs w:val="21"/>
              </w:rPr>
              <w:t>18</w:t>
            </w:r>
          </w:p>
        </w:tc>
        <w:tc>
          <w:tcPr>
            <w:tcW w:w="2845" w:type="dxa"/>
            <w:tcBorders>
              <w:top w:val="single" w:color="auto" w:sz="4" w:space="0"/>
              <w:left w:val="single" w:color="auto" w:sz="4" w:space="0"/>
              <w:right w:val="single" w:color="auto" w:sz="4" w:space="0"/>
            </w:tcBorders>
            <w:shd w:val="clear" w:color="auto" w:fill="FFFFFF"/>
            <w:vAlign w:val="center"/>
          </w:tcPr>
          <w:p>
            <w:pPr>
              <w:jc w:val="center"/>
              <w:rPr>
                <w:szCs w:val="21"/>
              </w:rPr>
            </w:pPr>
            <w:r>
              <w:rPr>
                <w:szCs w:val="21"/>
              </w:rPr>
              <w:t>苯并[ghi]苝（6）</w:t>
            </w:r>
          </w:p>
        </w:tc>
      </w:tr>
      <w:tr>
        <w:tblPrEx>
          <w:tblLayout w:type="fixed"/>
          <w:tblCellMar>
            <w:top w:w="0" w:type="dxa"/>
            <w:left w:w="57" w:type="dxa"/>
            <w:bottom w:w="0" w:type="dxa"/>
            <w:right w:w="57" w:type="dxa"/>
          </w:tblCellMar>
        </w:tblPrEx>
        <w:tc>
          <w:tcPr>
            <w:tcW w:w="9468"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rPr>
                <w:szCs w:val="21"/>
              </w:rPr>
            </w:pPr>
            <w:r>
              <w:rPr>
                <w:szCs w:val="21"/>
                <w:vertAlign w:val="superscript"/>
              </w:rPr>
              <w:t>a</w:t>
            </w:r>
            <w:r>
              <w:rPr>
                <w:szCs w:val="21"/>
                <w:lang w:val="zh-CN"/>
              </w:rPr>
              <w:t>（）：芳环数量。</w:t>
            </w:r>
          </w:p>
        </w:tc>
      </w:tr>
    </w:tbl>
    <w:p>
      <w:pPr>
        <w:outlineLvl w:val="3"/>
        <w:rPr>
          <w:szCs w:val="21"/>
        </w:rPr>
      </w:pPr>
      <w:r>
        <w:rPr>
          <w:szCs w:val="21"/>
        </w:rPr>
        <w:br w:type="page"/>
      </w:r>
    </w:p>
    <w:p>
      <w:pPr>
        <w:keepNext/>
        <w:widowControl/>
        <w:shd w:val="clear" w:color="FFFFFF" w:fill="FFFFFF"/>
        <w:tabs>
          <w:tab w:val="left" w:pos="6405"/>
        </w:tabs>
        <w:spacing w:before="640" w:after="280"/>
        <w:jc w:val="center"/>
        <w:outlineLvl w:val="0"/>
        <w:rPr>
          <w:rFonts w:eastAsia="黑体"/>
          <w:kern w:val="0"/>
          <w:szCs w:val="20"/>
        </w:rPr>
      </w:pPr>
      <w:bookmarkStart w:id="43" w:name="_Toc6044"/>
      <w:bookmarkStart w:id="44" w:name="_Toc3786"/>
      <w:r>
        <w:rPr>
          <w:rFonts w:eastAsia="黑体"/>
          <w:kern w:val="0"/>
          <w:szCs w:val="20"/>
        </w:rPr>
        <w:t>附录B</w:t>
      </w:r>
      <w:r>
        <w:rPr>
          <w:rFonts w:hint="eastAsia" w:eastAsia="黑体"/>
          <w:kern w:val="0"/>
          <w:szCs w:val="20"/>
        </w:rPr>
        <w:br w:type="textWrapping"/>
      </w:r>
      <w:r>
        <w:rPr>
          <w:rFonts w:eastAsia="黑体"/>
          <w:kern w:val="0"/>
          <w:szCs w:val="20"/>
        </w:rPr>
        <w:t>（资料性）</w:t>
      </w:r>
      <w:r>
        <w:rPr>
          <w:rFonts w:hint="eastAsia" w:eastAsia="黑体"/>
          <w:kern w:val="0"/>
          <w:szCs w:val="20"/>
        </w:rPr>
        <w:br w:type="textWrapping"/>
      </w:r>
      <w:r>
        <w:rPr>
          <w:rFonts w:eastAsia="黑体"/>
          <w:kern w:val="0"/>
          <w:szCs w:val="20"/>
        </w:rPr>
        <w:t>PAH</w:t>
      </w:r>
      <w:r>
        <w:rPr>
          <w:rFonts w:hint="eastAsia" w:eastAsia="黑体"/>
          <w:kern w:val="0"/>
          <w:szCs w:val="20"/>
          <w:lang w:val="en-US" w:eastAsia="zh-CN"/>
        </w:rPr>
        <w:t>s</w:t>
      </w:r>
      <w:r>
        <w:rPr>
          <w:rFonts w:eastAsia="黑体"/>
          <w:kern w:val="0"/>
          <w:szCs w:val="20"/>
        </w:rPr>
        <w:t>国际实验室间研究结果（IIS10-PAHs）</w:t>
      </w:r>
      <w:bookmarkEnd w:id="43"/>
      <w:bookmarkEnd w:id="44"/>
    </w:p>
    <w:p>
      <w:pPr>
        <w:spacing w:before="156" w:beforeLines="50" w:after="156" w:afterLines="50"/>
        <w:jc w:val="center"/>
        <w:rPr>
          <w:b/>
          <w:bCs/>
          <w:szCs w:val="21"/>
        </w:rPr>
      </w:pPr>
      <w:r>
        <w:rPr>
          <w:b/>
          <w:bCs/>
          <w:szCs w:val="21"/>
        </w:rPr>
        <w:t>表B.1</w:t>
      </w:r>
      <w:r>
        <w:rPr>
          <w:rFonts w:hint="eastAsia"/>
          <w:b/>
          <w:bCs/>
          <w:szCs w:val="21"/>
          <w:lang w:val="en-US" w:eastAsia="zh-CN"/>
        </w:rPr>
        <w:t xml:space="preserve"> </w:t>
      </w:r>
      <w:r>
        <w:rPr>
          <w:b/>
          <w:bCs/>
          <w:szCs w:val="21"/>
        </w:rPr>
        <w:t>GC-MS的统计数据</w:t>
      </w:r>
    </w:p>
    <w:tbl>
      <w:tblPr>
        <w:tblStyle w:val="44"/>
        <w:tblW w:w="9468" w:type="dxa"/>
        <w:tblInd w:w="0" w:type="dxa"/>
        <w:tblLayout w:type="fixed"/>
        <w:tblCellMar>
          <w:top w:w="0" w:type="dxa"/>
          <w:left w:w="57" w:type="dxa"/>
          <w:bottom w:w="0" w:type="dxa"/>
          <w:right w:w="57" w:type="dxa"/>
        </w:tblCellMar>
      </w:tblPr>
      <w:tblGrid>
        <w:gridCol w:w="870"/>
        <w:gridCol w:w="949"/>
        <w:gridCol w:w="1880"/>
        <w:gridCol w:w="1034"/>
        <w:gridCol w:w="875"/>
        <w:gridCol w:w="439"/>
        <w:gridCol w:w="576"/>
        <w:gridCol w:w="608"/>
        <w:gridCol w:w="576"/>
        <w:gridCol w:w="608"/>
        <w:gridCol w:w="443"/>
        <w:gridCol w:w="610"/>
      </w:tblGrid>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技术</w:t>
            </w:r>
          </w:p>
        </w:tc>
        <w:tc>
          <w:tcPr>
            <w:tcW w:w="949"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样品</w:t>
            </w:r>
          </w:p>
        </w:tc>
        <w:tc>
          <w:tcPr>
            <w:tcW w:w="1880"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参数</w:t>
            </w:r>
          </w:p>
        </w:tc>
        <w:tc>
          <w:tcPr>
            <w:tcW w:w="1034" w:type="dxa"/>
            <w:tcBorders>
              <w:top w:val="single" w:color="auto" w:sz="4" w:space="0"/>
              <w:left w:val="single" w:color="auto" w:sz="4" w:space="0"/>
            </w:tcBorders>
            <w:shd w:val="clear" w:color="auto" w:fill="FFFFFF"/>
            <w:vAlign w:val="center"/>
          </w:tcPr>
          <w:p>
            <w:pPr>
              <w:jc w:val="center"/>
              <w:rPr>
                <w:b/>
                <w:sz w:val="18"/>
                <w:szCs w:val="21"/>
              </w:rPr>
            </w:pPr>
            <w:r>
              <w:rPr>
                <w:b/>
                <w:i/>
                <w:iCs/>
                <w:sz w:val="18"/>
                <w:szCs w:val="21"/>
              </w:rPr>
              <w:t>m</w:t>
            </w:r>
          </w:p>
        </w:tc>
        <w:tc>
          <w:tcPr>
            <w:tcW w:w="875"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V</w:t>
            </w:r>
          </w:p>
        </w:tc>
        <w:tc>
          <w:tcPr>
            <w:tcW w:w="439" w:type="dxa"/>
            <w:tcBorders>
              <w:top w:val="single" w:color="auto" w:sz="4" w:space="0"/>
              <w:left w:val="single" w:color="auto" w:sz="4" w:space="0"/>
            </w:tcBorders>
            <w:shd w:val="clear" w:color="auto" w:fill="FFFFFF"/>
            <w:vAlign w:val="center"/>
          </w:tcPr>
          <w:p>
            <w:pPr>
              <w:jc w:val="center"/>
              <w:rPr>
                <w:b/>
                <w:sz w:val="18"/>
                <w:szCs w:val="21"/>
              </w:rPr>
            </w:pPr>
            <w:r>
              <w:rPr>
                <w:b/>
                <w:i/>
                <w:iCs/>
                <w:sz w:val="18"/>
                <w:szCs w:val="21"/>
              </w:rPr>
              <w:t>N</w:t>
            </w:r>
          </w:p>
        </w:tc>
        <w:tc>
          <w:tcPr>
            <w:tcW w:w="576"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S(r)</w:t>
            </w:r>
          </w:p>
        </w:tc>
        <w:tc>
          <w:tcPr>
            <w:tcW w:w="608" w:type="dxa"/>
            <w:tcBorders>
              <w:top w:val="single" w:color="auto" w:sz="4" w:space="0"/>
              <w:left w:val="single" w:color="auto" w:sz="4" w:space="0"/>
            </w:tcBorders>
            <w:shd w:val="clear" w:color="auto" w:fill="FFFFFF"/>
            <w:vAlign w:val="center"/>
          </w:tcPr>
          <w:p>
            <w:pPr>
              <w:jc w:val="center"/>
              <w:rPr>
                <w:b/>
                <w:sz w:val="18"/>
                <w:szCs w:val="21"/>
              </w:rPr>
            </w:pPr>
            <w:r>
              <w:rPr>
                <w:b/>
                <w:i/>
                <w:iCs/>
                <w:sz w:val="18"/>
                <w:szCs w:val="21"/>
              </w:rPr>
              <w:t>r</w:t>
            </w:r>
          </w:p>
        </w:tc>
        <w:tc>
          <w:tcPr>
            <w:tcW w:w="576"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s(R)</w:t>
            </w:r>
          </w:p>
        </w:tc>
        <w:tc>
          <w:tcPr>
            <w:tcW w:w="608" w:type="dxa"/>
            <w:tcBorders>
              <w:top w:val="single" w:color="auto" w:sz="4" w:space="0"/>
              <w:left w:val="single" w:color="auto" w:sz="4" w:space="0"/>
            </w:tcBorders>
            <w:shd w:val="clear" w:color="auto" w:fill="FFFFFF"/>
            <w:vAlign w:val="center"/>
          </w:tcPr>
          <w:p>
            <w:pPr>
              <w:jc w:val="center"/>
              <w:rPr>
                <w:b/>
                <w:sz w:val="18"/>
                <w:szCs w:val="21"/>
              </w:rPr>
            </w:pPr>
            <w:r>
              <w:rPr>
                <w:b/>
                <w:i/>
                <w:iCs/>
                <w:sz w:val="18"/>
                <w:szCs w:val="21"/>
              </w:rPr>
              <w:t>R</w:t>
            </w:r>
          </w:p>
        </w:tc>
        <w:tc>
          <w:tcPr>
            <w:tcW w:w="443" w:type="dxa"/>
            <w:tcBorders>
              <w:top w:val="single" w:color="auto" w:sz="4" w:space="0"/>
              <w:left w:val="single" w:color="auto" w:sz="4" w:space="0"/>
            </w:tcBorders>
            <w:shd w:val="clear" w:color="auto" w:fill="FFFFFF"/>
            <w:vAlign w:val="center"/>
          </w:tcPr>
          <w:p>
            <w:pPr>
              <w:jc w:val="center"/>
              <w:rPr>
                <w:b/>
                <w:sz w:val="18"/>
                <w:szCs w:val="21"/>
              </w:rPr>
            </w:pPr>
            <w:r>
              <w:rPr>
                <w:b/>
                <w:i/>
                <w:iCs/>
                <w:sz w:val="18"/>
                <w:szCs w:val="21"/>
              </w:rPr>
              <w:t>P</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b/>
                <w:sz w:val="18"/>
                <w:szCs w:val="21"/>
              </w:rPr>
            </w:pPr>
            <w:r>
              <w:rPr>
                <w:b/>
                <w:sz w:val="18"/>
                <w:szCs w:val="21"/>
              </w:rPr>
              <w:t>异常值实验室</w:t>
            </w:r>
          </w:p>
        </w:tc>
      </w:tr>
      <w:tr>
        <w:tblPrEx>
          <w:tblLayout w:type="fixed"/>
          <w:tblCellMar>
            <w:top w:w="0" w:type="dxa"/>
            <w:left w:w="57" w:type="dxa"/>
            <w:bottom w:w="0" w:type="dxa"/>
            <w:right w:w="57" w:type="dxa"/>
          </w:tblCellMar>
        </w:tblPrEx>
        <w:tc>
          <w:tcPr>
            <w:tcW w:w="870" w:type="dxa"/>
            <w:tcBorders>
              <w:left w:val="single" w:color="auto" w:sz="4" w:space="0"/>
            </w:tcBorders>
            <w:shd w:val="clear" w:color="auto" w:fill="FFFFFF"/>
            <w:vAlign w:val="center"/>
          </w:tcPr>
          <w:p>
            <w:pPr>
              <w:jc w:val="center"/>
              <w:rPr>
                <w:sz w:val="18"/>
                <w:szCs w:val="21"/>
              </w:rPr>
            </w:pPr>
          </w:p>
        </w:tc>
        <w:tc>
          <w:tcPr>
            <w:tcW w:w="949" w:type="dxa"/>
            <w:tcBorders>
              <w:left w:val="single" w:color="auto" w:sz="4" w:space="0"/>
            </w:tcBorders>
            <w:shd w:val="clear" w:color="auto" w:fill="FFFFFF"/>
            <w:vAlign w:val="center"/>
          </w:tcPr>
          <w:p>
            <w:pPr>
              <w:jc w:val="center"/>
              <w:rPr>
                <w:sz w:val="18"/>
                <w:szCs w:val="21"/>
              </w:rPr>
            </w:pPr>
          </w:p>
        </w:tc>
        <w:tc>
          <w:tcPr>
            <w:tcW w:w="1880" w:type="dxa"/>
            <w:tcBorders>
              <w:left w:val="single" w:color="auto" w:sz="4" w:space="0"/>
            </w:tcBorders>
            <w:shd w:val="clear" w:color="auto" w:fill="FFFFFF"/>
            <w:vAlign w:val="center"/>
          </w:tcPr>
          <w:p>
            <w:pPr>
              <w:jc w:val="center"/>
              <w:rPr>
                <w:sz w:val="18"/>
                <w:szCs w:val="21"/>
              </w:rPr>
            </w:pPr>
          </w:p>
        </w:tc>
        <w:tc>
          <w:tcPr>
            <w:tcW w:w="1034" w:type="dxa"/>
            <w:tcBorders>
              <w:left w:val="single" w:color="auto" w:sz="4" w:space="0"/>
            </w:tcBorders>
            <w:shd w:val="clear" w:color="auto" w:fill="FFFFFF"/>
            <w:vAlign w:val="center"/>
          </w:tcPr>
          <w:p>
            <w:pPr>
              <w:jc w:val="center"/>
              <w:rPr>
                <w:sz w:val="18"/>
                <w:szCs w:val="21"/>
              </w:rPr>
            </w:pPr>
            <w:r>
              <w:rPr>
                <w:sz w:val="18"/>
                <w:szCs w:val="21"/>
              </w:rPr>
              <w:t>mg/kg</w:t>
            </w:r>
          </w:p>
        </w:tc>
        <w:tc>
          <w:tcPr>
            <w:tcW w:w="875" w:type="dxa"/>
            <w:tcBorders>
              <w:left w:val="single" w:color="auto" w:sz="4" w:space="0"/>
            </w:tcBorders>
            <w:shd w:val="clear" w:color="auto" w:fill="FFFFFF"/>
            <w:vAlign w:val="center"/>
          </w:tcPr>
          <w:p>
            <w:pPr>
              <w:jc w:val="center"/>
              <w:rPr>
                <w:sz w:val="18"/>
                <w:szCs w:val="21"/>
              </w:rPr>
            </w:pPr>
            <w:r>
              <w:rPr>
                <w:sz w:val="18"/>
                <w:szCs w:val="21"/>
              </w:rPr>
              <w:t>mg/kg</w:t>
            </w:r>
          </w:p>
        </w:tc>
        <w:tc>
          <w:tcPr>
            <w:tcW w:w="439" w:type="dxa"/>
            <w:tcBorders>
              <w:left w:val="single" w:color="auto" w:sz="4" w:space="0"/>
            </w:tcBorders>
            <w:shd w:val="clear" w:color="auto" w:fill="FFFFFF"/>
            <w:vAlign w:val="center"/>
          </w:tcPr>
          <w:p>
            <w:pPr>
              <w:jc w:val="center"/>
              <w:rPr>
                <w:sz w:val="18"/>
                <w:szCs w:val="21"/>
              </w:rPr>
            </w:pPr>
          </w:p>
        </w:tc>
        <w:tc>
          <w:tcPr>
            <w:tcW w:w="576" w:type="dxa"/>
            <w:tcBorders>
              <w:left w:val="single" w:color="auto" w:sz="4" w:space="0"/>
            </w:tcBorders>
            <w:shd w:val="clear" w:color="auto" w:fill="FFFFFF"/>
            <w:vAlign w:val="center"/>
          </w:tcPr>
          <w:p>
            <w:pPr>
              <w:jc w:val="center"/>
              <w:rPr>
                <w:sz w:val="18"/>
                <w:szCs w:val="21"/>
              </w:rPr>
            </w:pPr>
            <w:r>
              <w:rPr>
                <w:sz w:val="18"/>
                <w:szCs w:val="21"/>
              </w:rPr>
              <w:t>mg/kg</w:t>
            </w:r>
          </w:p>
        </w:tc>
        <w:tc>
          <w:tcPr>
            <w:tcW w:w="608" w:type="dxa"/>
            <w:tcBorders>
              <w:left w:val="single" w:color="auto" w:sz="4" w:space="0"/>
            </w:tcBorders>
            <w:shd w:val="clear" w:color="auto" w:fill="FFFFFF"/>
            <w:vAlign w:val="center"/>
          </w:tcPr>
          <w:p>
            <w:pPr>
              <w:jc w:val="center"/>
              <w:rPr>
                <w:sz w:val="18"/>
                <w:szCs w:val="21"/>
              </w:rPr>
            </w:pPr>
            <w:r>
              <w:rPr>
                <w:sz w:val="18"/>
                <w:szCs w:val="21"/>
              </w:rPr>
              <w:t>mg/kg</w:t>
            </w:r>
          </w:p>
        </w:tc>
        <w:tc>
          <w:tcPr>
            <w:tcW w:w="576" w:type="dxa"/>
            <w:tcBorders>
              <w:left w:val="single" w:color="auto" w:sz="4" w:space="0"/>
            </w:tcBorders>
            <w:shd w:val="clear" w:color="auto" w:fill="FFFFFF"/>
            <w:vAlign w:val="center"/>
          </w:tcPr>
          <w:p>
            <w:pPr>
              <w:jc w:val="center"/>
              <w:rPr>
                <w:sz w:val="18"/>
                <w:szCs w:val="21"/>
              </w:rPr>
            </w:pPr>
            <w:r>
              <w:rPr>
                <w:sz w:val="18"/>
                <w:szCs w:val="21"/>
              </w:rPr>
              <w:t>mg/kg</w:t>
            </w:r>
          </w:p>
        </w:tc>
        <w:tc>
          <w:tcPr>
            <w:tcW w:w="608" w:type="dxa"/>
            <w:tcBorders>
              <w:left w:val="single" w:color="auto" w:sz="4" w:space="0"/>
            </w:tcBorders>
            <w:shd w:val="clear" w:color="auto" w:fill="FFFFFF"/>
            <w:vAlign w:val="center"/>
          </w:tcPr>
          <w:p>
            <w:pPr>
              <w:jc w:val="center"/>
              <w:rPr>
                <w:sz w:val="18"/>
                <w:szCs w:val="21"/>
              </w:rPr>
            </w:pPr>
            <w:r>
              <w:rPr>
                <w:sz w:val="18"/>
                <w:szCs w:val="21"/>
              </w:rPr>
              <w:t>mg/kg</w:t>
            </w:r>
          </w:p>
        </w:tc>
        <w:tc>
          <w:tcPr>
            <w:tcW w:w="443" w:type="dxa"/>
            <w:tcBorders>
              <w:left w:val="single" w:color="auto" w:sz="4" w:space="0"/>
            </w:tcBorders>
            <w:shd w:val="clear" w:color="auto" w:fill="FFFFFF"/>
            <w:vAlign w:val="center"/>
          </w:tcPr>
          <w:p>
            <w:pPr>
              <w:jc w:val="center"/>
              <w:rPr>
                <w:sz w:val="18"/>
                <w:szCs w:val="21"/>
              </w:rPr>
            </w:pPr>
          </w:p>
        </w:tc>
        <w:tc>
          <w:tcPr>
            <w:tcW w:w="610" w:type="dxa"/>
            <w:tcBorders>
              <w:left w:val="single" w:color="auto" w:sz="4" w:space="0"/>
              <w:right w:val="single" w:color="auto" w:sz="4" w:space="0"/>
            </w:tcBorders>
            <w:shd w:val="clear" w:color="auto" w:fill="FFFFFF"/>
            <w:vAlign w:val="center"/>
          </w:tcPr>
          <w:p>
            <w:pPr>
              <w:jc w:val="center"/>
              <w:rPr>
                <w:sz w:val="18"/>
                <w:szCs w:val="21"/>
              </w:rPr>
            </w:pP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r>
              <w:rPr>
                <w:sz w:val="18"/>
                <w:szCs w:val="21"/>
              </w:rPr>
              <w:t>GC-MS</w:t>
            </w: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萘</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04</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05</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14</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萘</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04</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07</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21</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萘</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1.1</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05</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15</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22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2</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萘</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8</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06</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16</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14</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98</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苊烯</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19</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3</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苊烯</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19</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3</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苊烯</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5</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11</w:t>
            </w:r>
            <w:r>
              <w:rPr>
                <w:rFonts w:hint="eastAsia"/>
                <w:sz w:val="18"/>
                <w:szCs w:val="21"/>
                <w:lang w:eastAsia="zh-CN"/>
              </w:rPr>
              <w:t>.</w:t>
            </w:r>
            <w:r>
              <w:rPr>
                <w:sz w:val="18"/>
                <w:szCs w:val="21"/>
              </w:rPr>
              <w:t>4</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55</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54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48</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96</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苊烯</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5</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13</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36</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93</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22</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苊</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72</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96</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5</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r>
              <w:rPr>
                <w:rFonts w:hint="eastAsia"/>
                <w:sz w:val="18"/>
                <w:szCs w:val="21"/>
                <w:lang w:eastAsia="zh-CN"/>
              </w:rPr>
              <w:t>.</w:t>
            </w:r>
            <w:r>
              <w:rPr>
                <w:sz w:val="18"/>
                <w:szCs w:val="21"/>
              </w:rPr>
              <w:t>79</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15</w:t>
            </w:r>
            <w:r>
              <w:rPr>
                <w:rFonts w:hint="eastAsia"/>
                <w:sz w:val="18"/>
                <w:szCs w:val="21"/>
                <w:lang w:eastAsia="zh-CN"/>
              </w:rPr>
              <w:t>.</w:t>
            </w:r>
            <w:r>
              <w:rPr>
                <w:sz w:val="18"/>
                <w:szCs w:val="21"/>
              </w:rPr>
              <w:t>92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44</w:t>
            </w:r>
            <w:r>
              <w:rPr>
                <w:rFonts w:hint="eastAsia"/>
                <w:sz w:val="18"/>
                <w:szCs w:val="21"/>
                <w:lang w:eastAsia="zh-CN"/>
              </w:rPr>
              <w:t>.</w:t>
            </w:r>
            <w:r>
              <w:rPr>
                <w:sz w:val="18"/>
                <w:szCs w:val="21"/>
              </w:rPr>
              <w:t>58</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苊</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29</w:t>
            </w:r>
            <w:r>
              <w:rPr>
                <w:rFonts w:hint="eastAsia"/>
                <w:sz w:val="18"/>
                <w:szCs w:val="21"/>
                <w:lang w:eastAsia="zh-CN"/>
              </w:rPr>
              <w:t>.</w:t>
            </w:r>
            <w:r>
              <w:rPr>
                <w:sz w:val="18"/>
                <w:szCs w:val="21"/>
              </w:rPr>
              <w:t>4</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37</w:t>
            </w:r>
            <w:r>
              <w:rPr>
                <w:rFonts w:hint="eastAsia"/>
                <w:sz w:val="18"/>
                <w:szCs w:val="21"/>
                <w:lang w:eastAsia="zh-CN"/>
              </w:rPr>
              <w:t>.</w:t>
            </w:r>
            <w:r>
              <w:rPr>
                <w:sz w:val="18"/>
                <w:szCs w:val="21"/>
              </w:rPr>
              <w:t>2</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51</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22</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81</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16</w:t>
            </w:r>
            <w:r>
              <w:rPr>
                <w:rFonts w:hint="eastAsia"/>
                <w:sz w:val="18"/>
                <w:szCs w:val="21"/>
                <w:lang w:eastAsia="zh-CN"/>
              </w:rPr>
              <w:t>.</w:t>
            </w:r>
            <w:r>
              <w:rPr>
                <w:sz w:val="18"/>
                <w:szCs w:val="21"/>
              </w:rPr>
              <w:t>26</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苊</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2</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16</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23</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47</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32</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27</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36</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苊</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8</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27</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77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14</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19</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芴</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65</w:t>
            </w:r>
            <w:r>
              <w:rPr>
                <w:rFonts w:hint="eastAsia"/>
                <w:sz w:val="18"/>
                <w:szCs w:val="21"/>
                <w:lang w:eastAsia="zh-CN"/>
              </w:rPr>
              <w:t>.</w:t>
            </w:r>
            <w:r>
              <w:rPr>
                <w:sz w:val="18"/>
                <w:szCs w:val="21"/>
              </w:rPr>
              <w:t>3</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97</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79</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81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13</w:t>
            </w:r>
            <w:r>
              <w:rPr>
                <w:rFonts w:hint="eastAsia"/>
                <w:sz w:val="18"/>
                <w:szCs w:val="21"/>
                <w:lang w:eastAsia="zh-CN"/>
              </w:rPr>
              <w:t>.</w:t>
            </w:r>
            <w:r>
              <w:rPr>
                <w:sz w:val="18"/>
                <w:szCs w:val="21"/>
              </w:rPr>
              <w:t>22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37</w:t>
            </w:r>
            <w:r>
              <w:rPr>
                <w:rFonts w:hint="eastAsia"/>
                <w:sz w:val="18"/>
                <w:szCs w:val="21"/>
                <w:lang w:eastAsia="zh-CN"/>
              </w:rPr>
              <w:t>.</w:t>
            </w:r>
            <w:r>
              <w:rPr>
                <w:sz w:val="18"/>
                <w:szCs w:val="21"/>
              </w:rPr>
              <w:t>03</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芴</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29</w:t>
            </w:r>
            <w:r>
              <w:rPr>
                <w:rFonts w:hint="eastAsia"/>
                <w:sz w:val="18"/>
                <w:szCs w:val="21"/>
                <w:lang w:eastAsia="zh-CN"/>
              </w:rPr>
              <w:t>.</w:t>
            </w:r>
            <w:r>
              <w:rPr>
                <w:sz w:val="18"/>
                <w:szCs w:val="21"/>
              </w:rPr>
              <w:t>6</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38</w:t>
            </w:r>
            <w:r>
              <w:rPr>
                <w:rFonts w:hint="eastAsia"/>
                <w:sz w:val="18"/>
                <w:szCs w:val="21"/>
                <w:lang w:eastAsia="zh-CN"/>
              </w:rPr>
              <w:t>.</w:t>
            </w:r>
            <w:r>
              <w:rPr>
                <w:sz w:val="18"/>
                <w:szCs w:val="21"/>
              </w:rPr>
              <w:t>2</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52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26</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38</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15</w:t>
            </w:r>
            <w:r>
              <w:rPr>
                <w:rFonts w:hint="eastAsia"/>
                <w:sz w:val="18"/>
                <w:szCs w:val="21"/>
                <w:lang w:eastAsia="zh-CN"/>
              </w:rPr>
              <w:t>.</w:t>
            </w:r>
            <w:r>
              <w:rPr>
                <w:sz w:val="18"/>
                <w:szCs w:val="21"/>
              </w:rPr>
              <w:t>05</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芴</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30</w:t>
            </w:r>
            <w:r>
              <w:rPr>
                <w:rFonts w:hint="eastAsia"/>
                <w:sz w:val="18"/>
                <w:szCs w:val="21"/>
                <w:lang w:eastAsia="zh-CN"/>
              </w:rPr>
              <w:t>.</w:t>
            </w:r>
            <w:r>
              <w:rPr>
                <w:sz w:val="18"/>
                <w:szCs w:val="21"/>
              </w:rPr>
              <w:t>6</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47</w:t>
            </w:r>
            <w:r>
              <w:rPr>
                <w:rFonts w:hint="eastAsia"/>
                <w:sz w:val="18"/>
                <w:szCs w:val="21"/>
                <w:lang w:eastAsia="zh-CN"/>
              </w:rPr>
              <w:t>.</w:t>
            </w:r>
            <w:r>
              <w:rPr>
                <w:sz w:val="18"/>
                <w:szCs w:val="21"/>
              </w:rPr>
              <w:t>2</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96</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3</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37</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12</w:t>
            </w:r>
            <w:r>
              <w:rPr>
                <w:rFonts w:hint="eastAsia"/>
                <w:sz w:val="18"/>
                <w:szCs w:val="21"/>
                <w:lang w:eastAsia="zh-CN"/>
              </w:rPr>
              <w:t>.</w:t>
            </w:r>
            <w:r>
              <w:rPr>
                <w:sz w:val="18"/>
                <w:szCs w:val="21"/>
              </w:rPr>
              <w:t>25</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芴</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1</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03</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89</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69</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13</w:t>
            </w:r>
            <w:r>
              <w:rPr>
                <w:rFonts w:hint="eastAsia"/>
                <w:sz w:val="18"/>
                <w:szCs w:val="21"/>
                <w:lang w:eastAsia="zh-CN"/>
              </w:rPr>
              <w:t>.</w:t>
            </w:r>
            <w:r>
              <w:rPr>
                <w:sz w:val="18"/>
                <w:szCs w:val="21"/>
              </w:rPr>
              <w:t>13</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菲</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72</w:t>
            </w:r>
            <w:r>
              <w:rPr>
                <w:rFonts w:hint="eastAsia"/>
                <w:sz w:val="18"/>
                <w:szCs w:val="21"/>
                <w:lang w:eastAsia="zh-CN"/>
              </w:rPr>
              <w:t>.</w:t>
            </w:r>
            <w:r>
              <w:rPr>
                <w:sz w:val="18"/>
                <w:szCs w:val="21"/>
              </w:rPr>
              <w:t>1</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113</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1</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67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16</w:t>
            </w:r>
            <w:r>
              <w:rPr>
                <w:rFonts w:hint="eastAsia"/>
                <w:sz w:val="18"/>
                <w:szCs w:val="21"/>
                <w:lang w:eastAsia="zh-CN"/>
              </w:rPr>
              <w:t>.</w:t>
            </w:r>
            <w:r>
              <w:rPr>
                <w:sz w:val="18"/>
                <w:szCs w:val="21"/>
              </w:rPr>
              <w:t>28</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45</w:t>
            </w:r>
            <w:r>
              <w:rPr>
                <w:rFonts w:hint="eastAsia"/>
                <w:sz w:val="18"/>
                <w:szCs w:val="21"/>
                <w:lang w:eastAsia="zh-CN"/>
              </w:rPr>
              <w:t>.</w:t>
            </w:r>
            <w:r>
              <w:rPr>
                <w:sz w:val="18"/>
                <w:szCs w:val="21"/>
              </w:rPr>
              <w:t>58</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菲</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31</w:t>
            </w:r>
            <w:r>
              <w:rPr>
                <w:rFonts w:hint="eastAsia"/>
                <w:sz w:val="18"/>
                <w:szCs w:val="21"/>
                <w:lang w:eastAsia="zh-CN"/>
              </w:rPr>
              <w:t>.</w:t>
            </w:r>
            <w:r>
              <w:rPr>
                <w:sz w:val="18"/>
                <w:szCs w:val="21"/>
              </w:rPr>
              <w:t>7</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41</w:t>
            </w:r>
            <w:r>
              <w:rPr>
                <w:rFonts w:hint="eastAsia"/>
                <w:sz w:val="18"/>
                <w:szCs w:val="21"/>
                <w:lang w:eastAsia="zh-CN"/>
              </w:rPr>
              <w:t>.</w:t>
            </w:r>
            <w:r>
              <w:rPr>
                <w:sz w:val="18"/>
                <w:szCs w:val="21"/>
              </w:rPr>
              <w:t>7</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09</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06</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29</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20</w:t>
            </w:r>
            <w:r>
              <w:rPr>
                <w:rFonts w:hint="eastAsia"/>
                <w:sz w:val="18"/>
                <w:szCs w:val="21"/>
                <w:lang w:eastAsia="zh-CN"/>
              </w:rPr>
              <w:t>.</w:t>
            </w:r>
            <w:r>
              <w:rPr>
                <w:sz w:val="18"/>
                <w:szCs w:val="21"/>
              </w:rPr>
              <w:t>41</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菲</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196</w:t>
            </w:r>
            <w:r>
              <w:rPr>
                <w:rFonts w:hint="eastAsia"/>
                <w:sz w:val="18"/>
                <w:szCs w:val="21"/>
                <w:lang w:eastAsia="zh-CN"/>
              </w:rPr>
              <w:t>.</w:t>
            </w:r>
            <w:r>
              <w:rPr>
                <w:sz w:val="18"/>
                <w:szCs w:val="21"/>
              </w:rPr>
              <w:t>1</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221</w:t>
            </w:r>
            <w:r>
              <w:rPr>
                <w:rFonts w:hint="eastAsia"/>
                <w:sz w:val="18"/>
                <w:szCs w:val="21"/>
                <w:lang w:eastAsia="zh-CN"/>
              </w:rPr>
              <w:t>.</w:t>
            </w:r>
            <w:r>
              <w:rPr>
                <w:sz w:val="18"/>
                <w:szCs w:val="21"/>
              </w:rPr>
              <w:t>2</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34</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14</w:t>
            </w:r>
            <w:r>
              <w:rPr>
                <w:rFonts w:hint="eastAsia"/>
                <w:sz w:val="18"/>
                <w:szCs w:val="21"/>
                <w:lang w:eastAsia="zh-CN"/>
              </w:rPr>
              <w:t>.</w:t>
            </w:r>
            <w:r>
              <w:rPr>
                <w:sz w:val="18"/>
                <w:szCs w:val="21"/>
              </w:rPr>
              <w:t>95</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30</w:t>
            </w:r>
            <w:r>
              <w:rPr>
                <w:rFonts w:hint="eastAsia"/>
                <w:sz w:val="18"/>
                <w:szCs w:val="21"/>
                <w:lang w:eastAsia="zh-CN"/>
              </w:rPr>
              <w:t>.</w:t>
            </w:r>
            <w:r>
              <w:rPr>
                <w:sz w:val="18"/>
                <w:szCs w:val="21"/>
              </w:rPr>
              <w:t>12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84</w:t>
            </w:r>
            <w:r>
              <w:rPr>
                <w:rFonts w:hint="eastAsia"/>
                <w:sz w:val="18"/>
                <w:szCs w:val="21"/>
                <w:lang w:eastAsia="zh-CN"/>
              </w:rPr>
              <w:t>.</w:t>
            </w:r>
            <w:r>
              <w:rPr>
                <w:sz w:val="18"/>
                <w:szCs w:val="21"/>
              </w:rPr>
              <w:t>32</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菲</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16</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35</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14</w:t>
            </w:r>
            <w:r>
              <w:rPr>
                <w:rFonts w:hint="eastAsia"/>
                <w:sz w:val="18"/>
                <w:szCs w:val="21"/>
                <w:lang w:eastAsia="zh-CN"/>
              </w:rPr>
              <w:t>.</w:t>
            </w:r>
            <w:r>
              <w:rPr>
                <w:sz w:val="18"/>
                <w:szCs w:val="21"/>
              </w:rPr>
              <w:t>98</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11</w:t>
            </w:r>
            <w:r>
              <w:rPr>
                <w:rFonts w:hint="eastAsia"/>
                <w:sz w:val="18"/>
                <w:szCs w:val="21"/>
                <w:lang w:eastAsia="zh-CN"/>
              </w:rPr>
              <w:t>.</w:t>
            </w:r>
            <w:r>
              <w:rPr>
                <w:sz w:val="18"/>
                <w:szCs w:val="21"/>
              </w:rPr>
              <w:t>22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31</w:t>
            </w:r>
            <w:r>
              <w:rPr>
                <w:rFonts w:hint="eastAsia"/>
                <w:sz w:val="18"/>
                <w:szCs w:val="21"/>
                <w:lang w:eastAsia="zh-CN"/>
              </w:rPr>
              <w:t>.</w:t>
            </w:r>
            <w:r>
              <w:rPr>
                <w:sz w:val="18"/>
                <w:szCs w:val="21"/>
              </w:rPr>
              <w:t>43</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71</w:t>
            </w:r>
            <w:r>
              <w:rPr>
                <w:rFonts w:hint="eastAsia"/>
                <w:sz w:val="18"/>
                <w:szCs w:val="21"/>
                <w:lang w:eastAsia="zh-CN"/>
              </w:rPr>
              <w:t>.</w:t>
            </w:r>
            <w:r>
              <w:rPr>
                <w:sz w:val="18"/>
                <w:szCs w:val="21"/>
              </w:rPr>
              <w:t>7</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109</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84</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96</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17</w:t>
            </w:r>
            <w:r>
              <w:rPr>
                <w:rFonts w:hint="eastAsia"/>
                <w:sz w:val="18"/>
                <w:szCs w:val="21"/>
                <w:lang w:eastAsia="zh-CN"/>
              </w:rPr>
              <w:t>.</w:t>
            </w:r>
            <w:r>
              <w:rPr>
                <w:sz w:val="18"/>
                <w:szCs w:val="21"/>
              </w:rPr>
              <w:t>91</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50</w:t>
            </w:r>
            <w:r>
              <w:rPr>
                <w:rFonts w:hint="eastAsia"/>
                <w:sz w:val="18"/>
                <w:szCs w:val="21"/>
                <w:lang w:eastAsia="zh-CN"/>
              </w:rPr>
              <w:t>.</w:t>
            </w:r>
            <w:r>
              <w:rPr>
                <w:sz w:val="18"/>
                <w:szCs w:val="21"/>
              </w:rPr>
              <w:t>14</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33</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39</w:t>
            </w:r>
            <w:r>
              <w:rPr>
                <w:rFonts w:hint="eastAsia"/>
                <w:sz w:val="18"/>
                <w:szCs w:val="21"/>
                <w:lang w:eastAsia="zh-CN"/>
              </w:rPr>
              <w:t>.</w:t>
            </w:r>
            <w:r>
              <w:rPr>
                <w:sz w:val="18"/>
                <w:szCs w:val="21"/>
              </w:rPr>
              <w:t>5</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37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21</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20</w:t>
            </w:r>
            <w:r>
              <w:rPr>
                <w:rFonts w:hint="eastAsia"/>
                <w:sz w:val="18"/>
                <w:szCs w:val="21"/>
                <w:lang w:eastAsia="zh-CN"/>
              </w:rPr>
              <w:t>.</w:t>
            </w:r>
            <w:r>
              <w:rPr>
                <w:sz w:val="18"/>
                <w:szCs w:val="21"/>
              </w:rPr>
              <w:t>18</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57</w:t>
            </w:r>
            <w:r>
              <w:rPr>
                <w:rFonts w:hint="eastAsia"/>
                <w:sz w:val="18"/>
                <w:szCs w:val="21"/>
                <w:lang w:eastAsia="zh-CN"/>
              </w:rPr>
              <w:t>.</w:t>
            </w:r>
            <w:r>
              <w:rPr>
                <w:sz w:val="18"/>
                <w:szCs w:val="21"/>
              </w:rPr>
              <w:t>5</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57</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47</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91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r>
              <w:rPr>
                <w:rFonts w:hint="eastAsia"/>
                <w:sz w:val="18"/>
                <w:szCs w:val="21"/>
                <w:lang w:eastAsia="zh-CN"/>
              </w:rPr>
              <w:t>.</w:t>
            </w:r>
            <w:r>
              <w:rPr>
                <w:sz w:val="18"/>
                <w:szCs w:val="21"/>
              </w:rPr>
              <w:t>94</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30</w:t>
            </w:r>
            <w:r>
              <w:rPr>
                <w:rFonts w:hint="eastAsia"/>
                <w:sz w:val="18"/>
                <w:szCs w:val="21"/>
                <w:lang w:eastAsia="zh-CN"/>
              </w:rPr>
              <w:t>.</w:t>
            </w:r>
            <w:r>
              <w:rPr>
                <w:sz w:val="18"/>
                <w:szCs w:val="21"/>
              </w:rPr>
              <w:t>62</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2</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18</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31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28</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11</w:t>
            </w:r>
            <w:r>
              <w:rPr>
                <w:rFonts w:hint="eastAsia"/>
                <w:sz w:val="18"/>
                <w:szCs w:val="21"/>
                <w:lang w:eastAsia="zh-CN"/>
              </w:rPr>
              <w:t>.</w:t>
            </w:r>
            <w:r>
              <w:rPr>
                <w:sz w:val="18"/>
                <w:szCs w:val="21"/>
              </w:rPr>
              <w:t>98</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荧蒽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76</w:t>
            </w:r>
            <w:r>
              <w:rPr>
                <w:rFonts w:hint="eastAsia"/>
                <w:sz w:val="18"/>
                <w:szCs w:val="21"/>
                <w:lang w:eastAsia="zh-CN"/>
              </w:rPr>
              <w:t>.</w:t>
            </w:r>
            <w:r>
              <w:rPr>
                <w:sz w:val="18"/>
                <w:szCs w:val="21"/>
              </w:rPr>
              <w:t>5</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119</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22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r>
              <w:rPr>
                <w:rFonts w:hint="eastAsia"/>
                <w:sz w:val="18"/>
                <w:szCs w:val="21"/>
                <w:lang w:eastAsia="zh-CN"/>
              </w:rPr>
              <w:t>.</w:t>
            </w:r>
            <w:r>
              <w:rPr>
                <w:sz w:val="18"/>
                <w:szCs w:val="21"/>
              </w:rPr>
              <w:t>02</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19</w:t>
            </w:r>
            <w:r>
              <w:rPr>
                <w:rFonts w:hint="eastAsia"/>
                <w:sz w:val="18"/>
                <w:szCs w:val="21"/>
                <w:lang w:eastAsia="zh-CN"/>
              </w:rPr>
              <w:t>.</w:t>
            </w:r>
            <w:r>
              <w:rPr>
                <w:sz w:val="18"/>
                <w:szCs w:val="21"/>
              </w:rPr>
              <w:t>08</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53</w:t>
            </w:r>
            <w:r>
              <w:rPr>
                <w:rFonts w:hint="eastAsia"/>
                <w:sz w:val="18"/>
                <w:szCs w:val="21"/>
                <w:lang w:eastAsia="zh-CN"/>
              </w:rPr>
              <w:t>.</w:t>
            </w:r>
            <w:r>
              <w:rPr>
                <w:sz w:val="18"/>
                <w:szCs w:val="21"/>
              </w:rPr>
              <w:t>44</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荧蒽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33</w:t>
            </w:r>
            <w:r>
              <w:rPr>
                <w:rFonts w:hint="eastAsia"/>
                <w:sz w:val="18"/>
                <w:szCs w:val="21"/>
                <w:lang w:eastAsia="zh-CN"/>
              </w:rPr>
              <w:t>.</w:t>
            </w:r>
            <w:r>
              <w:rPr>
                <w:sz w:val="18"/>
                <w:szCs w:val="21"/>
              </w:rPr>
              <w:t>8</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41</w:t>
            </w:r>
            <w:r>
              <w:rPr>
                <w:rFonts w:hint="eastAsia"/>
                <w:sz w:val="18"/>
                <w:szCs w:val="21"/>
                <w:lang w:eastAsia="zh-CN"/>
              </w:rPr>
              <w:t>.</w:t>
            </w:r>
            <w:r>
              <w:rPr>
                <w:sz w:val="18"/>
                <w:szCs w:val="21"/>
              </w:rPr>
              <w:t>5</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54</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31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44</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23</w:t>
            </w:r>
            <w:r>
              <w:rPr>
                <w:rFonts w:hint="eastAsia"/>
                <w:sz w:val="18"/>
                <w:szCs w:val="21"/>
                <w:lang w:eastAsia="zh-CN"/>
              </w:rPr>
              <w:t>.</w:t>
            </w:r>
            <w:r>
              <w:rPr>
                <w:sz w:val="18"/>
                <w:szCs w:val="21"/>
              </w:rPr>
              <w:t>64</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荧蒽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185</w:t>
            </w:r>
            <w:r>
              <w:rPr>
                <w:rFonts w:hint="eastAsia"/>
                <w:sz w:val="18"/>
                <w:szCs w:val="21"/>
                <w:lang w:eastAsia="zh-CN"/>
              </w:rPr>
              <w:t>.</w:t>
            </w:r>
            <w:r>
              <w:rPr>
                <w:sz w:val="18"/>
                <w:szCs w:val="21"/>
              </w:rPr>
              <w:t>1</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208</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85</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13</w:t>
            </w:r>
            <w:r>
              <w:rPr>
                <w:rFonts w:hint="eastAsia"/>
                <w:sz w:val="18"/>
                <w:szCs w:val="21"/>
                <w:lang w:eastAsia="zh-CN"/>
              </w:rPr>
              <w:t>.</w:t>
            </w:r>
            <w:r>
              <w:rPr>
                <w:sz w:val="18"/>
                <w:szCs w:val="21"/>
              </w:rPr>
              <w:t>57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34</w:t>
            </w:r>
            <w:r>
              <w:rPr>
                <w:rFonts w:hint="eastAsia"/>
                <w:sz w:val="18"/>
                <w:szCs w:val="21"/>
                <w:lang w:eastAsia="zh-CN"/>
              </w:rPr>
              <w:t>.</w:t>
            </w:r>
            <w:r>
              <w:rPr>
                <w:sz w:val="18"/>
                <w:szCs w:val="21"/>
              </w:rPr>
              <w:t>11</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95</w:t>
            </w:r>
            <w:r>
              <w:rPr>
                <w:rFonts w:hint="eastAsia"/>
                <w:sz w:val="18"/>
                <w:szCs w:val="21"/>
                <w:lang w:eastAsia="zh-CN"/>
              </w:rPr>
              <w:t>.</w:t>
            </w:r>
            <w:r>
              <w:rPr>
                <w:sz w:val="18"/>
                <w:szCs w:val="21"/>
              </w:rPr>
              <w:t>51</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荧蒽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14</w:t>
            </w:r>
            <w:r>
              <w:rPr>
                <w:rFonts w:hint="eastAsia"/>
                <w:sz w:val="18"/>
                <w:szCs w:val="21"/>
                <w:lang w:eastAsia="zh-CN"/>
              </w:rPr>
              <w:t>.</w:t>
            </w:r>
            <w:r>
              <w:rPr>
                <w:sz w:val="18"/>
                <w:szCs w:val="21"/>
              </w:rPr>
              <w:t>9</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1.34</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74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72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13</w:t>
            </w:r>
            <w:r>
              <w:rPr>
                <w:rFonts w:hint="eastAsia"/>
                <w:sz w:val="18"/>
                <w:szCs w:val="21"/>
                <w:lang w:eastAsia="zh-CN"/>
              </w:rPr>
              <w:t>.</w:t>
            </w:r>
            <w:r>
              <w:rPr>
                <w:sz w:val="18"/>
                <w:szCs w:val="21"/>
              </w:rPr>
              <w:t>22</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芘</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73</w:t>
            </w:r>
            <w:r>
              <w:rPr>
                <w:rFonts w:hint="eastAsia"/>
                <w:sz w:val="18"/>
                <w:szCs w:val="21"/>
                <w:lang w:eastAsia="zh-CN"/>
              </w:rPr>
              <w:t>.</w:t>
            </w:r>
            <w:r>
              <w:rPr>
                <w:sz w:val="18"/>
                <w:szCs w:val="21"/>
              </w:rPr>
              <w:t>2</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111</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06</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56</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18</w:t>
            </w:r>
            <w:r>
              <w:rPr>
                <w:rFonts w:hint="eastAsia"/>
                <w:sz w:val="18"/>
                <w:szCs w:val="21"/>
                <w:lang w:eastAsia="zh-CN"/>
              </w:rPr>
              <w:t>.</w:t>
            </w:r>
            <w:r>
              <w:rPr>
                <w:sz w:val="18"/>
                <w:szCs w:val="21"/>
              </w:rPr>
              <w:t>09</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50</w:t>
            </w:r>
            <w:r>
              <w:rPr>
                <w:rFonts w:hint="eastAsia"/>
                <w:sz w:val="18"/>
                <w:szCs w:val="21"/>
                <w:lang w:eastAsia="zh-CN"/>
              </w:rPr>
              <w:t>.</w:t>
            </w:r>
            <w:r>
              <w:rPr>
                <w:sz w:val="18"/>
                <w:szCs w:val="21"/>
              </w:rPr>
              <w:t>65</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芘</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33</w:t>
            </w:r>
            <w:r>
              <w:rPr>
                <w:rFonts w:hint="eastAsia"/>
                <w:sz w:val="18"/>
                <w:szCs w:val="21"/>
                <w:lang w:eastAsia="zh-CN"/>
              </w:rPr>
              <w:t>.</w:t>
            </w:r>
            <w:r>
              <w:rPr>
                <w:sz w:val="18"/>
                <w:szCs w:val="21"/>
              </w:rPr>
              <w:t>5</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40</w:t>
            </w:r>
            <w:r>
              <w:rPr>
                <w:rFonts w:hint="eastAsia"/>
                <w:sz w:val="18"/>
                <w:szCs w:val="21"/>
                <w:lang w:eastAsia="zh-CN"/>
              </w:rPr>
              <w:t>.</w:t>
            </w:r>
            <w:r>
              <w:rPr>
                <w:sz w:val="18"/>
                <w:szCs w:val="21"/>
              </w:rPr>
              <w:t>9</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27</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54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25</w:t>
            </w:r>
            <w:r>
              <w:rPr>
                <w:rFonts w:hint="eastAsia"/>
                <w:sz w:val="18"/>
                <w:szCs w:val="21"/>
                <w:lang w:eastAsia="zh-CN"/>
              </w:rPr>
              <w:t>.</w:t>
            </w:r>
            <w:r>
              <w:rPr>
                <w:sz w:val="18"/>
                <w:szCs w:val="21"/>
              </w:rPr>
              <w:t>2</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芘</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139</w:t>
            </w:r>
            <w:r>
              <w:rPr>
                <w:rFonts w:hint="eastAsia"/>
                <w:sz w:val="18"/>
                <w:szCs w:val="21"/>
                <w:lang w:eastAsia="zh-CN"/>
              </w:rPr>
              <w:t>.</w:t>
            </w:r>
            <w:r>
              <w:rPr>
                <w:sz w:val="18"/>
                <w:szCs w:val="21"/>
              </w:rPr>
              <w:t>8</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168</w:t>
            </w:r>
            <w:r>
              <w:rPr>
                <w:rFonts w:hint="eastAsia"/>
                <w:sz w:val="18"/>
                <w:szCs w:val="21"/>
                <w:lang w:eastAsia="zh-CN"/>
              </w:rPr>
              <w:t>.</w:t>
            </w:r>
            <w:r>
              <w:rPr>
                <w:sz w:val="18"/>
                <w:szCs w:val="21"/>
              </w:rPr>
              <w:t>7</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49</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12</w:t>
            </w:r>
            <w:r>
              <w:rPr>
                <w:rFonts w:hint="eastAsia"/>
                <w:sz w:val="18"/>
                <w:szCs w:val="21"/>
                <w:lang w:eastAsia="zh-CN"/>
              </w:rPr>
              <w:t>.</w:t>
            </w:r>
            <w:r>
              <w:rPr>
                <w:sz w:val="18"/>
                <w:szCs w:val="21"/>
              </w:rPr>
              <w:t>57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r>
              <w:rPr>
                <w:rFonts w:hint="eastAsia"/>
                <w:sz w:val="18"/>
                <w:szCs w:val="21"/>
                <w:lang w:eastAsia="zh-CN"/>
              </w:rPr>
              <w:t>.</w:t>
            </w:r>
            <w:r>
              <w:rPr>
                <w:sz w:val="18"/>
                <w:szCs w:val="21"/>
              </w:rPr>
              <w:t>58</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77</w:t>
            </w:r>
            <w:r>
              <w:rPr>
                <w:rFonts w:hint="eastAsia"/>
                <w:sz w:val="18"/>
                <w:szCs w:val="21"/>
                <w:lang w:eastAsia="zh-CN"/>
              </w:rPr>
              <w:t>.</w:t>
            </w:r>
            <w:r>
              <w:rPr>
                <w:sz w:val="18"/>
                <w:szCs w:val="21"/>
              </w:rPr>
              <w:t>23</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芘</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31</w:t>
            </w:r>
            <w:r>
              <w:rPr>
                <w:rFonts w:hint="eastAsia"/>
                <w:sz w:val="18"/>
                <w:szCs w:val="21"/>
                <w:lang w:eastAsia="zh-CN"/>
              </w:rPr>
              <w:t>.</w:t>
            </w:r>
            <w:r>
              <w:rPr>
                <w:sz w:val="18"/>
                <w:szCs w:val="21"/>
              </w:rPr>
              <w:t>4</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8</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05</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20</w:t>
            </w:r>
            <w:r>
              <w:rPr>
                <w:rFonts w:hint="eastAsia"/>
                <w:sz w:val="18"/>
                <w:szCs w:val="21"/>
                <w:lang w:eastAsia="zh-CN"/>
              </w:rPr>
              <w:t>.</w:t>
            </w:r>
            <w:r>
              <w:rPr>
                <w:sz w:val="18"/>
                <w:szCs w:val="21"/>
              </w:rPr>
              <w:t>16</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苯并[a]蒽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78</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116</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18</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05</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11</w:t>
            </w:r>
            <w:r>
              <w:rPr>
                <w:rFonts w:hint="eastAsia"/>
                <w:sz w:val="18"/>
                <w:szCs w:val="21"/>
                <w:lang w:eastAsia="zh-CN"/>
              </w:rPr>
              <w:t>.</w:t>
            </w:r>
            <w:r>
              <w:rPr>
                <w:sz w:val="18"/>
                <w:szCs w:val="21"/>
              </w:rPr>
              <w:t>34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12</w:t>
            </w:r>
            <w:r>
              <w:rPr>
                <w:rFonts w:hint="eastAsia"/>
                <w:sz w:val="18"/>
                <w:szCs w:val="21"/>
                <w:lang w:eastAsia="zh-CN"/>
              </w:rPr>
              <w:t>.</w:t>
            </w:r>
            <w:r>
              <w:rPr>
                <w:sz w:val="18"/>
                <w:szCs w:val="21"/>
              </w:rPr>
              <w:t>19</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34</w:t>
            </w:r>
            <w:r>
              <w:rPr>
                <w:rFonts w:hint="eastAsia"/>
                <w:sz w:val="18"/>
                <w:szCs w:val="21"/>
                <w:lang w:eastAsia="zh-CN"/>
              </w:rPr>
              <w:t>.</w:t>
            </w:r>
            <w:r>
              <w:rPr>
                <w:sz w:val="18"/>
                <w:szCs w:val="21"/>
              </w:rPr>
              <w:t>13</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苯并[a]蒽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28</w:t>
            </w:r>
            <w:r>
              <w:rPr>
                <w:rFonts w:hint="eastAsia"/>
                <w:sz w:val="18"/>
                <w:szCs w:val="21"/>
                <w:lang w:eastAsia="zh-CN"/>
              </w:rPr>
              <w:t>.</w:t>
            </w:r>
            <w:r>
              <w:rPr>
                <w:sz w:val="18"/>
                <w:szCs w:val="21"/>
              </w:rPr>
              <w:t>5</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42</w:t>
            </w:r>
            <w:r>
              <w:rPr>
                <w:rFonts w:hint="eastAsia"/>
                <w:sz w:val="18"/>
                <w:szCs w:val="21"/>
                <w:lang w:eastAsia="zh-CN"/>
              </w:rPr>
              <w:t>.</w:t>
            </w:r>
            <w:r>
              <w:rPr>
                <w:sz w:val="18"/>
                <w:szCs w:val="21"/>
              </w:rPr>
              <w:t>6</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91</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35</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11</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22</w:t>
            </w:r>
            <w:r>
              <w:rPr>
                <w:rFonts w:hint="eastAsia"/>
                <w:sz w:val="18"/>
                <w:szCs w:val="21"/>
                <w:lang w:eastAsia="zh-CN"/>
              </w:rPr>
              <w:t>.</w:t>
            </w:r>
            <w:r>
              <w:rPr>
                <w:sz w:val="18"/>
                <w:szCs w:val="21"/>
              </w:rPr>
              <w:t>72</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苯并[a]蒽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71</w:t>
            </w:r>
            <w:r>
              <w:rPr>
                <w:rFonts w:hint="eastAsia"/>
                <w:sz w:val="18"/>
                <w:szCs w:val="21"/>
                <w:lang w:eastAsia="zh-CN"/>
              </w:rPr>
              <w:t>.</w:t>
            </w:r>
            <w:r>
              <w:rPr>
                <w:sz w:val="18"/>
                <w:szCs w:val="21"/>
              </w:rPr>
              <w:t>9</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102</w:t>
            </w:r>
            <w:r>
              <w:rPr>
                <w:rFonts w:hint="eastAsia"/>
                <w:sz w:val="18"/>
                <w:szCs w:val="21"/>
                <w:lang w:eastAsia="zh-CN"/>
              </w:rPr>
              <w:t>.</w:t>
            </w:r>
            <w:r>
              <w:rPr>
                <w:sz w:val="18"/>
                <w:szCs w:val="21"/>
              </w:rPr>
              <w:t>1</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16</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86</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53</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15</w:t>
            </w:r>
            <w:r>
              <w:rPr>
                <w:rFonts w:hint="eastAsia"/>
                <w:sz w:val="18"/>
                <w:szCs w:val="21"/>
                <w:lang w:eastAsia="zh-CN"/>
              </w:rPr>
              <w:t>.</w:t>
            </w:r>
            <w:r>
              <w:rPr>
                <w:sz w:val="18"/>
                <w:szCs w:val="21"/>
              </w:rPr>
              <w:t>5</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苯并[a]蒽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6</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14</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39</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31</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86</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80" w:type="dxa"/>
            <w:tcBorders>
              <w:top w:val="single" w:color="auto" w:sz="4" w:space="0"/>
              <w:left w:val="single" w:color="auto" w:sz="4" w:space="0"/>
            </w:tcBorders>
            <w:shd w:val="clear" w:color="auto" w:fill="FFFFFF"/>
            <w:vAlign w:val="center"/>
          </w:tcPr>
          <w:p>
            <w:pPr>
              <w:rPr>
                <w:rFonts w:hint="eastAsia" w:eastAsia="宋体"/>
                <w:sz w:val="18"/>
                <w:szCs w:val="21"/>
                <w:lang w:val="en-US" w:eastAsia="zh-CN"/>
              </w:rPr>
            </w:pPr>
            <w:r>
              <w:rPr>
                <w:rFonts w:hint="eastAsia"/>
                <w:sz w:val="18"/>
                <w:szCs w:val="21"/>
                <w:lang w:eastAsia="zh-CN"/>
              </w:rPr>
              <w:t>䓛</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3</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25</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02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86</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73</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18</w:t>
            </w:r>
            <w:r>
              <w:rPr>
                <w:rFonts w:hint="eastAsia"/>
                <w:sz w:val="18"/>
                <w:szCs w:val="21"/>
                <w:lang w:eastAsia="zh-CN"/>
              </w:rPr>
              <w:t>.</w:t>
            </w:r>
            <w:r>
              <w:rPr>
                <w:sz w:val="18"/>
                <w:szCs w:val="21"/>
              </w:rPr>
              <w:t>86</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80" w:type="dxa"/>
            <w:tcBorders>
              <w:top w:val="single" w:color="auto" w:sz="4" w:space="0"/>
              <w:left w:val="single" w:color="auto" w:sz="4" w:space="0"/>
            </w:tcBorders>
            <w:shd w:val="clear" w:color="auto" w:fill="FFFFFF"/>
            <w:vAlign w:val="center"/>
          </w:tcPr>
          <w:p>
            <w:pPr>
              <w:rPr>
                <w:rFonts w:hint="eastAsia" w:eastAsia="宋体"/>
                <w:sz w:val="18"/>
                <w:szCs w:val="21"/>
                <w:lang w:eastAsia="zh-CN"/>
              </w:rPr>
            </w:pPr>
            <w:r>
              <w:rPr>
                <w:rFonts w:hint="eastAsia"/>
                <w:sz w:val="18"/>
                <w:szCs w:val="21"/>
                <w:lang w:eastAsia="zh-CN"/>
              </w:rPr>
              <w:t>䓛</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1</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25</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37</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04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08</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62</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80" w:type="dxa"/>
            <w:tcBorders>
              <w:top w:val="single" w:color="auto" w:sz="4" w:space="0"/>
              <w:left w:val="single" w:color="auto" w:sz="4" w:space="0"/>
            </w:tcBorders>
            <w:shd w:val="clear" w:color="auto" w:fill="FFFFFF"/>
            <w:vAlign w:val="center"/>
          </w:tcPr>
          <w:p>
            <w:pPr>
              <w:rPr>
                <w:rFonts w:hint="eastAsia" w:eastAsia="宋体"/>
                <w:sz w:val="18"/>
                <w:szCs w:val="21"/>
                <w:lang w:eastAsia="zh-CN"/>
              </w:rPr>
            </w:pPr>
            <w:r>
              <w:rPr>
                <w:rFonts w:hint="eastAsia"/>
                <w:sz w:val="18"/>
                <w:szCs w:val="21"/>
                <w:lang w:eastAsia="zh-CN"/>
              </w:rPr>
              <w:t>䓛</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74</w:t>
            </w:r>
            <w:r>
              <w:rPr>
                <w:rFonts w:hint="eastAsia"/>
                <w:sz w:val="18"/>
                <w:szCs w:val="21"/>
                <w:lang w:eastAsia="zh-CN"/>
              </w:rPr>
              <w:t>.</w:t>
            </w:r>
            <w:r>
              <w:rPr>
                <w:sz w:val="18"/>
                <w:szCs w:val="21"/>
              </w:rPr>
              <w:t>6</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105</w:t>
            </w:r>
            <w:r>
              <w:rPr>
                <w:rFonts w:hint="eastAsia"/>
                <w:sz w:val="18"/>
                <w:szCs w:val="21"/>
                <w:lang w:eastAsia="zh-CN"/>
              </w:rPr>
              <w:t>.</w:t>
            </w:r>
            <w:r>
              <w:rPr>
                <w:sz w:val="18"/>
                <w:szCs w:val="21"/>
              </w:rPr>
              <w:t>2</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57</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r>
              <w:rPr>
                <w:rFonts w:hint="eastAsia"/>
                <w:sz w:val="18"/>
                <w:szCs w:val="21"/>
                <w:lang w:eastAsia="zh-CN"/>
              </w:rPr>
              <w:t>.</w:t>
            </w:r>
            <w:r>
              <w:rPr>
                <w:sz w:val="18"/>
                <w:szCs w:val="21"/>
              </w:rPr>
              <w:t>01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7</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r>
              <w:rPr>
                <w:rFonts w:hint="eastAsia"/>
                <w:sz w:val="18"/>
                <w:szCs w:val="21"/>
                <w:lang w:eastAsia="zh-CN"/>
              </w:rPr>
              <w:t>.</w:t>
            </w:r>
            <w:r>
              <w:rPr>
                <w:sz w:val="18"/>
                <w:szCs w:val="21"/>
              </w:rPr>
              <w:t>37</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80" w:type="dxa"/>
            <w:tcBorders>
              <w:top w:val="single" w:color="auto" w:sz="4" w:space="0"/>
              <w:left w:val="single" w:color="auto" w:sz="4" w:space="0"/>
            </w:tcBorders>
            <w:shd w:val="clear" w:color="auto" w:fill="FFFFFF"/>
            <w:vAlign w:val="center"/>
          </w:tcPr>
          <w:p>
            <w:pPr>
              <w:rPr>
                <w:rFonts w:hint="eastAsia" w:eastAsia="宋体"/>
                <w:sz w:val="18"/>
                <w:szCs w:val="21"/>
                <w:lang w:eastAsia="zh-CN"/>
              </w:rPr>
            </w:pPr>
            <w:r>
              <w:rPr>
                <w:rFonts w:hint="eastAsia"/>
                <w:sz w:val="18"/>
                <w:szCs w:val="21"/>
                <w:lang w:eastAsia="zh-CN"/>
              </w:rPr>
              <w:t>䓛</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5</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7</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55</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13</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18</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80" w:type="dxa"/>
            <w:tcBorders>
              <w:top w:val="single" w:color="auto" w:sz="4" w:space="0"/>
              <w:left w:val="single" w:color="auto" w:sz="4" w:space="0"/>
            </w:tcBorders>
            <w:shd w:val="clear" w:color="auto" w:fill="FFFFFF"/>
            <w:vAlign w:val="center"/>
          </w:tcPr>
          <w:p>
            <w:pPr>
              <w:rPr>
                <w:sz w:val="18"/>
                <w:szCs w:val="21"/>
              </w:rPr>
            </w:pPr>
            <w:r>
              <w:rPr>
                <w:sz w:val="18"/>
                <w:szCs w:val="21"/>
              </w:rPr>
              <w:t>苯并[b]荧蒽</w:t>
            </w:r>
          </w:p>
        </w:tc>
        <w:tc>
          <w:tcPr>
            <w:tcW w:w="1034"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875"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tcBorders>
            <w:shd w:val="clear" w:color="auto" w:fill="FFFFFF"/>
            <w:vAlign w:val="center"/>
          </w:tcPr>
          <w:p>
            <w:pPr>
              <w:jc w:val="center"/>
              <w:rPr>
                <w:sz w:val="18"/>
                <w:szCs w:val="21"/>
              </w:rPr>
            </w:pPr>
            <w:r>
              <w:rPr>
                <w:sz w:val="18"/>
                <w:szCs w:val="21"/>
              </w:rPr>
              <w:t>20</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06</w:t>
            </w:r>
          </w:p>
        </w:tc>
        <w:tc>
          <w:tcPr>
            <w:tcW w:w="60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18</w:t>
            </w:r>
          </w:p>
        </w:tc>
        <w:tc>
          <w:tcPr>
            <w:tcW w:w="443"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10"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70" w:type="dxa"/>
            <w:tcBorders>
              <w:top w:val="single" w:color="auto" w:sz="4" w:space="0"/>
              <w:left w:val="single" w:color="auto" w:sz="4" w:space="0"/>
              <w:bottom w:val="single" w:color="auto" w:sz="4" w:space="0"/>
            </w:tcBorders>
            <w:shd w:val="clear" w:color="auto" w:fill="FFFFFF"/>
            <w:vAlign w:val="center"/>
          </w:tcPr>
          <w:p>
            <w:pPr>
              <w:jc w:val="center"/>
              <w:rPr>
                <w:sz w:val="18"/>
                <w:szCs w:val="21"/>
              </w:rPr>
            </w:pPr>
          </w:p>
        </w:tc>
        <w:tc>
          <w:tcPr>
            <w:tcW w:w="949" w:type="dxa"/>
            <w:tcBorders>
              <w:top w:val="single" w:color="auto" w:sz="4" w:space="0"/>
              <w:left w:val="single" w:color="auto" w:sz="4" w:space="0"/>
              <w:bottom w:val="single" w:color="auto" w:sz="4" w:space="0"/>
            </w:tcBorders>
            <w:shd w:val="clear" w:color="auto" w:fill="FFFFFF"/>
            <w:vAlign w:val="center"/>
          </w:tcPr>
          <w:p>
            <w:pPr>
              <w:jc w:val="center"/>
              <w:rPr>
                <w:sz w:val="18"/>
                <w:szCs w:val="21"/>
              </w:rPr>
            </w:pPr>
            <w:r>
              <w:rPr>
                <w:sz w:val="18"/>
                <w:szCs w:val="21"/>
              </w:rPr>
              <w:t>IIS10-B02</w:t>
            </w:r>
          </w:p>
        </w:tc>
        <w:tc>
          <w:tcPr>
            <w:tcW w:w="1880" w:type="dxa"/>
            <w:tcBorders>
              <w:top w:val="single" w:color="auto" w:sz="4" w:space="0"/>
              <w:left w:val="single" w:color="auto" w:sz="4" w:space="0"/>
              <w:bottom w:val="single" w:color="auto" w:sz="4" w:space="0"/>
            </w:tcBorders>
            <w:shd w:val="clear" w:color="auto" w:fill="FFFFFF"/>
            <w:vAlign w:val="center"/>
          </w:tcPr>
          <w:p>
            <w:pPr>
              <w:rPr>
                <w:sz w:val="18"/>
                <w:szCs w:val="21"/>
              </w:rPr>
            </w:pPr>
            <w:r>
              <w:rPr>
                <w:sz w:val="18"/>
                <w:szCs w:val="21"/>
              </w:rPr>
              <w:t>苯并[b]荧蒽</w:t>
            </w:r>
          </w:p>
        </w:tc>
        <w:tc>
          <w:tcPr>
            <w:tcW w:w="1034" w:type="dxa"/>
            <w:tcBorders>
              <w:top w:val="single" w:color="auto" w:sz="4" w:space="0"/>
              <w:left w:val="single" w:color="auto" w:sz="4" w:space="0"/>
              <w:bottom w:val="single" w:color="auto" w:sz="4" w:space="0"/>
            </w:tcBorders>
            <w:shd w:val="clear" w:color="auto" w:fill="FFFFFF"/>
            <w:vAlign w:val="center"/>
          </w:tcPr>
          <w:p>
            <w:pPr>
              <w:jc w:val="center"/>
              <w:rPr>
                <w:sz w:val="18"/>
                <w:szCs w:val="21"/>
              </w:rPr>
            </w:pPr>
            <w:r>
              <w:rPr>
                <w:sz w:val="18"/>
                <w:szCs w:val="21"/>
              </w:rPr>
              <w:t>0</w:t>
            </w:r>
          </w:p>
        </w:tc>
        <w:tc>
          <w:tcPr>
            <w:tcW w:w="875" w:type="dxa"/>
            <w:tcBorders>
              <w:top w:val="single" w:color="auto" w:sz="4" w:space="0"/>
              <w:left w:val="single" w:color="auto" w:sz="4" w:space="0"/>
              <w:bottom w:val="single" w:color="auto" w:sz="4" w:space="0"/>
            </w:tcBorders>
            <w:shd w:val="clear" w:color="auto" w:fill="FFFFFF"/>
            <w:vAlign w:val="center"/>
          </w:tcPr>
          <w:p>
            <w:pPr>
              <w:jc w:val="center"/>
              <w:rPr>
                <w:sz w:val="18"/>
                <w:szCs w:val="21"/>
              </w:rPr>
            </w:pPr>
            <w:r>
              <w:rPr>
                <w:sz w:val="18"/>
                <w:szCs w:val="21"/>
              </w:rPr>
              <w:t>0</w:t>
            </w:r>
          </w:p>
        </w:tc>
        <w:tc>
          <w:tcPr>
            <w:tcW w:w="439" w:type="dxa"/>
            <w:tcBorders>
              <w:top w:val="single" w:color="auto" w:sz="4" w:space="0"/>
              <w:left w:val="single" w:color="auto" w:sz="4" w:space="0"/>
              <w:bottom w:val="single" w:color="auto" w:sz="4" w:space="0"/>
            </w:tcBorders>
            <w:shd w:val="clear" w:color="auto" w:fill="FFFFFF"/>
            <w:vAlign w:val="center"/>
          </w:tcPr>
          <w:p>
            <w:pPr>
              <w:jc w:val="center"/>
              <w:rPr>
                <w:sz w:val="18"/>
                <w:szCs w:val="21"/>
              </w:rPr>
            </w:pPr>
            <w:r>
              <w:rPr>
                <w:sz w:val="18"/>
                <w:szCs w:val="21"/>
              </w:rPr>
              <w:t>20</w:t>
            </w:r>
          </w:p>
        </w:tc>
        <w:tc>
          <w:tcPr>
            <w:tcW w:w="576" w:type="dxa"/>
            <w:tcBorders>
              <w:top w:val="single" w:color="auto" w:sz="4" w:space="0"/>
              <w:left w:val="single" w:color="auto" w:sz="4" w:space="0"/>
              <w:bottom w:val="single" w:color="auto" w:sz="4" w:space="0"/>
            </w:tcBorders>
            <w:shd w:val="clear" w:color="auto" w:fill="FFFFFF"/>
            <w:vAlign w:val="center"/>
          </w:tcPr>
          <w:p>
            <w:pPr>
              <w:jc w:val="center"/>
              <w:rPr>
                <w:sz w:val="18"/>
                <w:szCs w:val="21"/>
              </w:rPr>
            </w:pPr>
            <w:r>
              <w:rPr>
                <w:sz w:val="18"/>
                <w:szCs w:val="21"/>
              </w:rPr>
              <w:t>0</w:t>
            </w:r>
          </w:p>
        </w:tc>
        <w:tc>
          <w:tcPr>
            <w:tcW w:w="608" w:type="dxa"/>
            <w:tcBorders>
              <w:top w:val="single" w:color="auto" w:sz="4" w:space="0"/>
              <w:left w:val="single" w:color="auto" w:sz="4" w:space="0"/>
              <w:bottom w:val="single" w:color="auto" w:sz="4" w:space="0"/>
            </w:tcBorders>
            <w:shd w:val="clear" w:color="auto" w:fill="FFFFFF"/>
            <w:vAlign w:val="center"/>
          </w:tcPr>
          <w:p>
            <w:pPr>
              <w:jc w:val="center"/>
              <w:rPr>
                <w:sz w:val="18"/>
                <w:szCs w:val="21"/>
              </w:rPr>
            </w:pPr>
            <w:r>
              <w:rPr>
                <w:sz w:val="18"/>
                <w:szCs w:val="21"/>
              </w:rPr>
              <w:t>0</w:t>
            </w:r>
          </w:p>
        </w:tc>
        <w:tc>
          <w:tcPr>
            <w:tcW w:w="576" w:type="dxa"/>
            <w:tcBorders>
              <w:top w:val="single" w:color="auto" w:sz="4" w:space="0"/>
              <w:left w:val="single" w:color="auto" w:sz="4" w:space="0"/>
              <w:bottom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06</w:t>
            </w:r>
          </w:p>
        </w:tc>
        <w:tc>
          <w:tcPr>
            <w:tcW w:w="608" w:type="dxa"/>
            <w:tcBorders>
              <w:top w:val="single" w:color="auto" w:sz="4" w:space="0"/>
              <w:left w:val="single" w:color="auto" w:sz="4" w:space="0"/>
              <w:bottom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18</w:t>
            </w:r>
          </w:p>
        </w:tc>
        <w:tc>
          <w:tcPr>
            <w:tcW w:w="443" w:type="dxa"/>
            <w:tcBorders>
              <w:top w:val="single" w:color="auto" w:sz="4" w:space="0"/>
              <w:left w:val="single" w:color="auto" w:sz="4" w:space="0"/>
              <w:bottom w:val="single" w:color="auto" w:sz="4" w:space="0"/>
            </w:tcBorders>
            <w:shd w:val="clear" w:color="auto" w:fill="FFFFFF"/>
            <w:vAlign w:val="center"/>
          </w:tcPr>
          <w:p>
            <w:pPr>
              <w:jc w:val="center"/>
              <w:rPr>
                <w:sz w:val="18"/>
                <w:szCs w:val="21"/>
              </w:rPr>
            </w:pPr>
            <w:r>
              <w:rPr>
                <w:sz w:val="18"/>
                <w:szCs w:val="21"/>
              </w:rPr>
              <w:t>7</w:t>
            </w:r>
          </w:p>
        </w:tc>
        <w:tc>
          <w:tcPr>
            <w:tcW w:w="61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sz w:val="18"/>
                <w:szCs w:val="21"/>
              </w:rPr>
            </w:pPr>
            <w:r>
              <w:rPr>
                <w:sz w:val="18"/>
                <w:szCs w:val="21"/>
              </w:rPr>
              <w:t>2</w:t>
            </w:r>
          </w:p>
        </w:tc>
      </w:tr>
    </w:tbl>
    <w:p/>
    <w:tbl>
      <w:tblPr>
        <w:tblStyle w:val="44"/>
        <w:tblW w:w="9468" w:type="dxa"/>
        <w:tblInd w:w="0" w:type="dxa"/>
        <w:tblLayout w:type="fixed"/>
        <w:tblCellMar>
          <w:top w:w="0" w:type="dxa"/>
          <w:left w:w="57" w:type="dxa"/>
          <w:bottom w:w="0" w:type="dxa"/>
          <w:right w:w="57" w:type="dxa"/>
        </w:tblCellMar>
      </w:tblPr>
      <w:tblGrid>
        <w:gridCol w:w="868"/>
        <w:gridCol w:w="947"/>
        <w:gridCol w:w="1878"/>
        <w:gridCol w:w="1041"/>
        <w:gridCol w:w="858"/>
        <w:gridCol w:w="436"/>
        <w:gridCol w:w="576"/>
        <w:gridCol w:w="602"/>
        <w:gridCol w:w="610"/>
        <w:gridCol w:w="610"/>
        <w:gridCol w:w="434"/>
        <w:gridCol w:w="608"/>
      </w:tblGrid>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技术</w:t>
            </w:r>
          </w:p>
        </w:tc>
        <w:tc>
          <w:tcPr>
            <w:tcW w:w="947"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样品</w:t>
            </w:r>
          </w:p>
        </w:tc>
        <w:tc>
          <w:tcPr>
            <w:tcW w:w="1878"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参数</w:t>
            </w:r>
          </w:p>
        </w:tc>
        <w:tc>
          <w:tcPr>
            <w:tcW w:w="1041" w:type="dxa"/>
            <w:tcBorders>
              <w:top w:val="single" w:color="auto" w:sz="4" w:space="0"/>
              <w:left w:val="single" w:color="auto" w:sz="4" w:space="0"/>
            </w:tcBorders>
            <w:shd w:val="clear" w:color="auto" w:fill="FFFFFF"/>
            <w:vAlign w:val="center"/>
          </w:tcPr>
          <w:p>
            <w:pPr>
              <w:jc w:val="center"/>
              <w:rPr>
                <w:b/>
                <w:sz w:val="18"/>
                <w:szCs w:val="21"/>
              </w:rPr>
            </w:pPr>
            <w:r>
              <w:rPr>
                <w:b/>
                <w:i/>
                <w:iCs/>
                <w:sz w:val="18"/>
                <w:szCs w:val="21"/>
              </w:rPr>
              <w:t>m</w:t>
            </w:r>
          </w:p>
        </w:tc>
        <w:tc>
          <w:tcPr>
            <w:tcW w:w="858"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V</w:t>
            </w:r>
          </w:p>
        </w:tc>
        <w:tc>
          <w:tcPr>
            <w:tcW w:w="436" w:type="dxa"/>
            <w:tcBorders>
              <w:top w:val="single" w:color="auto" w:sz="4" w:space="0"/>
              <w:left w:val="single" w:color="auto" w:sz="4" w:space="0"/>
            </w:tcBorders>
            <w:shd w:val="clear" w:color="auto" w:fill="FFFFFF"/>
            <w:vAlign w:val="center"/>
          </w:tcPr>
          <w:p>
            <w:pPr>
              <w:jc w:val="center"/>
              <w:rPr>
                <w:b/>
                <w:sz w:val="18"/>
                <w:szCs w:val="21"/>
              </w:rPr>
            </w:pPr>
            <w:r>
              <w:rPr>
                <w:b/>
                <w:i/>
                <w:iCs/>
                <w:sz w:val="18"/>
                <w:szCs w:val="21"/>
              </w:rPr>
              <w:t>N</w:t>
            </w:r>
          </w:p>
        </w:tc>
        <w:tc>
          <w:tcPr>
            <w:tcW w:w="576"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s(r)</w:t>
            </w:r>
          </w:p>
        </w:tc>
        <w:tc>
          <w:tcPr>
            <w:tcW w:w="602" w:type="dxa"/>
            <w:tcBorders>
              <w:top w:val="single" w:color="auto" w:sz="4" w:space="0"/>
              <w:left w:val="single" w:color="auto" w:sz="4" w:space="0"/>
            </w:tcBorders>
            <w:shd w:val="clear" w:color="auto" w:fill="FFFFFF"/>
            <w:vAlign w:val="center"/>
          </w:tcPr>
          <w:p>
            <w:pPr>
              <w:jc w:val="center"/>
              <w:rPr>
                <w:b/>
                <w:sz w:val="18"/>
                <w:szCs w:val="21"/>
              </w:rPr>
            </w:pPr>
            <w:r>
              <w:rPr>
                <w:b/>
                <w:i/>
                <w:iCs/>
                <w:sz w:val="18"/>
                <w:szCs w:val="21"/>
              </w:rPr>
              <w:t>r</w:t>
            </w:r>
          </w:p>
        </w:tc>
        <w:tc>
          <w:tcPr>
            <w:tcW w:w="610" w:type="dxa"/>
            <w:tcBorders>
              <w:top w:val="single" w:color="auto" w:sz="4" w:space="0"/>
              <w:left w:val="single" w:color="auto" w:sz="4" w:space="0"/>
            </w:tcBorders>
            <w:shd w:val="clear" w:color="auto" w:fill="FFFFFF"/>
            <w:vAlign w:val="center"/>
          </w:tcPr>
          <w:p>
            <w:pPr>
              <w:jc w:val="center"/>
              <w:rPr>
                <w:b/>
                <w:sz w:val="18"/>
                <w:szCs w:val="21"/>
              </w:rPr>
            </w:pPr>
            <w:r>
              <w:rPr>
                <w:b/>
                <w:sz w:val="18"/>
                <w:szCs w:val="21"/>
              </w:rPr>
              <w:t>s(R)</w:t>
            </w:r>
          </w:p>
        </w:tc>
        <w:tc>
          <w:tcPr>
            <w:tcW w:w="610" w:type="dxa"/>
            <w:tcBorders>
              <w:top w:val="single" w:color="auto" w:sz="4" w:space="0"/>
              <w:left w:val="single" w:color="auto" w:sz="4" w:space="0"/>
            </w:tcBorders>
            <w:shd w:val="clear" w:color="auto" w:fill="FFFFFF"/>
            <w:vAlign w:val="center"/>
          </w:tcPr>
          <w:p>
            <w:pPr>
              <w:jc w:val="center"/>
              <w:rPr>
                <w:b/>
                <w:sz w:val="18"/>
                <w:szCs w:val="21"/>
              </w:rPr>
            </w:pPr>
            <w:r>
              <w:rPr>
                <w:b/>
                <w:i/>
                <w:iCs/>
                <w:sz w:val="18"/>
                <w:szCs w:val="21"/>
              </w:rPr>
              <w:t>R</w:t>
            </w:r>
          </w:p>
        </w:tc>
        <w:tc>
          <w:tcPr>
            <w:tcW w:w="434" w:type="dxa"/>
            <w:tcBorders>
              <w:top w:val="single" w:color="auto" w:sz="4" w:space="0"/>
              <w:left w:val="single" w:color="auto" w:sz="4" w:space="0"/>
            </w:tcBorders>
            <w:shd w:val="clear" w:color="auto" w:fill="FFFFFF"/>
            <w:vAlign w:val="center"/>
          </w:tcPr>
          <w:p>
            <w:pPr>
              <w:jc w:val="center"/>
              <w:rPr>
                <w:b/>
                <w:sz w:val="18"/>
                <w:szCs w:val="21"/>
              </w:rPr>
            </w:pPr>
            <w:r>
              <w:rPr>
                <w:b/>
                <w:i/>
                <w:iCs/>
                <w:sz w:val="18"/>
                <w:szCs w:val="21"/>
              </w:rPr>
              <w:t>P</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b/>
                <w:sz w:val="18"/>
                <w:szCs w:val="21"/>
              </w:rPr>
            </w:pPr>
            <w:r>
              <w:rPr>
                <w:b/>
                <w:sz w:val="18"/>
                <w:szCs w:val="21"/>
              </w:rPr>
              <w:t>异常值实验室</w:t>
            </w:r>
          </w:p>
        </w:tc>
      </w:tr>
      <w:tr>
        <w:tblPrEx>
          <w:tblLayout w:type="fixed"/>
          <w:tblCellMar>
            <w:top w:w="0" w:type="dxa"/>
            <w:left w:w="57" w:type="dxa"/>
            <w:bottom w:w="0" w:type="dxa"/>
            <w:right w:w="57" w:type="dxa"/>
          </w:tblCellMar>
        </w:tblPrEx>
        <w:tc>
          <w:tcPr>
            <w:tcW w:w="868" w:type="dxa"/>
            <w:tcBorders>
              <w:left w:val="single" w:color="auto" w:sz="4" w:space="0"/>
            </w:tcBorders>
            <w:shd w:val="clear" w:color="auto" w:fill="FFFFFF"/>
            <w:vAlign w:val="center"/>
          </w:tcPr>
          <w:p>
            <w:pPr>
              <w:jc w:val="center"/>
              <w:rPr>
                <w:sz w:val="18"/>
                <w:szCs w:val="21"/>
              </w:rPr>
            </w:pPr>
          </w:p>
        </w:tc>
        <w:tc>
          <w:tcPr>
            <w:tcW w:w="947" w:type="dxa"/>
            <w:tcBorders>
              <w:left w:val="single" w:color="auto" w:sz="4" w:space="0"/>
            </w:tcBorders>
            <w:shd w:val="clear" w:color="auto" w:fill="FFFFFF"/>
            <w:vAlign w:val="center"/>
          </w:tcPr>
          <w:p>
            <w:pPr>
              <w:jc w:val="center"/>
              <w:rPr>
                <w:sz w:val="18"/>
                <w:szCs w:val="21"/>
              </w:rPr>
            </w:pPr>
          </w:p>
        </w:tc>
        <w:tc>
          <w:tcPr>
            <w:tcW w:w="1878" w:type="dxa"/>
            <w:tcBorders>
              <w:left w:val="single" w:color="auto" w:sz="4" w:space="0"/>
            </w:tcBorders>
            <w:shd w:val="clear" w:color="auto" w:fill="FFFFFF"/>
            <w:vAlign w:val="center"/>
          </w:tcPr>
          <w:p>
            <w:pPr>
              <w:jc w:val="center"/>
              <w:rPr>
                <w:sz w:val="18"/>
                <w:szCs w:val="21"/>
              </w:rPr>
            </w:pPr>
          </w:p>
        </w:tc>
        <w:tc>
          <w:tcPr>
            <w:tcW w:w="1041" w:type="dxa"/>
            <w:tcBorders>
              <w:left w:val="single" w:color="auto" w:sz="4" w:space="0"/>
            </w:tcBorders>
            <w:shd w:val="clear" w:color="auto" w:fill="FFFFFF"/>
            <w:vAlign w:val="center"/>
          </w:tcPr>
          <w:p>
            <w:pPr>
              <w:jc w:val="center"/>
              <w:rPr>
                <w:sz w:val="18"/>
                <w:szCs w:val="21"/>
              </w:rPr>
            </w:pPr>
            <w:r>
              <w:rPr>
                <w:sz w:val="18"/>
                <w:szCs w:val="21"/>
              </w:rPr>
              <w:t>mg/kg</w:t>
            </w:r>
          </w:p>
        </w:tc>
        <w:tc>
          <w:tcPr>
            <w:tcW w:w="858" w:type="dxa"/>
            <w:tcBorders>
              <w:left w:val="single" w:color="auto" w:sz="4" w:space="0"/>
            </w:tcBorders>
            <w:shd w:val="clear" w:color="auto" w:fill="FFFFFF"/>
            <w:vAlign w:val="center"/>
          </w:tcPr>
          <w:p>
            <w:pPr>
              <w:jc w:val="center"/>
              <w:rPr>
                <w:sz w:val="18"/>
                <w:szCs w:val="21"/>
              </w:rPr>
            </w:pPr>
            <w:r>
              <w:rPr>
                <w:sz w:val="18"/>
                <w:szCs w:val="21"/>
              </w:rPr>
              <w:t>mg/kg</w:t>
            </w:r>
          </w:p>
        </w:tc>
        <w:tc>
          <w:tcPr>
            <w:tcW w:w="436" w:type="dxa"/>
            <w:tcBorders>
              <w:left w:val="single" w:color="auto" w:sz="4" w:space="0"/>
            </w:tcBorders>
            <w:shd w:val="clear" w:color="auto" w:fill="FFFFFF"/>
            <w:vAlign w:val="center"/>
          </w:tcPr>
          <w:p>
            <w:pPr>
              <w:jc w:val="center"/>
              <w:rPr>
                <w:sz w:val="18"/>
                <w:szCs w:val="21"/>
              </w:rPr>
            </w:pPr>
          </w:p>
        </w:tc>
        <w:tc>
          <w:tcPr>
            <w:tcW w:w="576" w:type="dxa"/>
            <w:tcBorders>
              <w:left w:val="single" w:color="auto" w:sz="4" w:space="0"/>
            </w:tcBorders>
            <w:shd w:val="clear" w:color="auto" w:fill="FFFFFF"/>
            <w:vAlign w:val="center"/>
          </w:tcPr>
          <w:p>
            <w:pPr>
              <w:jc w:val="center"/>
              <w:rPr>
                <w:sz w:val="18"/>
                <w:szCs w:val="21"/>
              </w:rPr>
            </w:pPr>
            <w:r>
              <w:rPr>
                <w:sz w:val="18"/>
                <w:szCs w:val="21"/>
              </w:rPr>
              <w:t>mg/kg</w:t>
            </w:r>
          </w:p>
        </w:tc>
        <w:tc>
          <w:tcPr>
            <w:tcW w:w="602" w:type="dxa"/>
            <w:tcBorders>
              <w:left w:val="single" w:color="auto" w:sz="4" w:space="0"/>
            </w:tcBorders>
            <w:shd w:val="clear" w:color="auto" w:fill="FFFFFF"/>
            <w:vAlign w:val="center"/>
          </w:tcPr>
          <w:p>
            <w:pPr>
              <w:jc w:val="center"/>
              <w:rPr>
                <w:sz w:val="18"/>
                <w:szCs w:val="21"/>
              </w:rPr>
            </w:pPr>
            <w:r>
              <w:rPr>
                <w:sz w:val="18"/>
                <w:szCs w:val="21"/>
              </w:rPr>
              <w:t>mg/kg</w:t>
            </w:r>
          </w:p>
        </w:tc>
        <w:tc>
          <w:tcPr>
            <w:tcW w:w="610" w:type="dxa"/>
            <w:tcBorders>
              <w:left w:val="single" w:color="auto" w:sz="4" w:space="0"/>
            </w:tcBorders>
            <w:shd w:val="clear" w:color="auto" w:fill="FFFFFF"/>
            <w:vAlign w:val="center"/>
          </w:tcPr>
          <w:p>
            <w:pPr>
              <w:jc w:val="center"/>
              <w:rPr>
                <w:sz w:val="18"/>
                <w:szCs w:val="21"/>
              </w:rPr>
            </w:pPr>
            <w:r>
              <w:rPr>
                <w:sz w:val="18"/>
                <w:szCs w:val="21"/>
              </w:rPr>
              <w:t>mg/kg</w:t>
            </w:r>
          </w:p>
        </w:tc>
        <w:tc>
          <w:tcPr>
            <w:tcW w:w="610" w:type="dxa"/>
            <w:tcBorders>
              <w:left w:val="single" w:color="auto" w:sz="4" w:space="0"/>
            </w:tcBorders>
            <w:shd w:val="clear" w:color="auto" w:fill="FFFFFF"/>
            <w:vAlign w:val="center"/>
          </w:tcPr>
          <w:p>
            <w:pPr>
              <w:jc w:val="center"/>
              <w:rPr>
                <w:sz w:val="18"/>
                <w:szCs w:val="21"/>
              </w:rPr>
            </w:pPr>
            <w:r>
              <w:rPr>
                <w:sz w:val="18"/>
                <w:szCs w:val="21"/>
              </w:rPr>
              <w:t>mg/kg</w:t>
            </w:r>
          </w:p>
        </w:tc>
        <w:tc>
          <w:tcPr>
            <w:tcW w:w="434" w:type="dxa"/>
            <w:tcBorders>
              <w:left w:val="single" w:color="auto" w:sz="4" w:space="0"/>
            </w:tcBorders>
            <w:shd w:val="clear" w:color="auto" w:fill="FFFFFF"/>
            <w:vAlign w:val="center"/>
          </w:tcPr>
          <w:p>
            <w:pPr>
              <w:jc w:val="center"/>
              <w:rPr>
                <w:sz w:val="18"/>
                <w:szCs w:val="21"/>
              </w:rPr>
            </w:pPr>
          </w:p>
        </w:tc>
        <w:tc>
          <w:tcPr>
            <w:tcW w:w="608" w:type="dxa"/>
            <w:tcBorders>
              <w:left w:val="single" w:color="auto" w:sz="4" w:space="0"/>
              <w:right w:val="single" w:color="auto" w:sz="4" w:space="0"/>
            </w:tcBorders>
            <w:shd w:val="clear" w:color="auto" w:fill="FFFFFF"/>
            <w:vAlign w:val="center"/>
          </w:tcPr>
          <w:p>
            <w:pPr>
              <w:jc w:val="center"/>
              <w:rPr>
                <w:sz w:val="18"/>
                <w:szCs w:val="21"/>
              </w:rPr>
            </w:pP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苯并[b]荧蒽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58</w:t>
            </w:r>
            <w:r>
              <w:rPr>
                <w:rFonts w:hint="eastAsia"/>
                <w:sz w:val="18"/>
                <w:szCs w:val="21"/>
                <w:lang w:eastAsia="zh-CN"/>
              </w:rPr>
              <w:t>.</w:t>
            </w:r>
            <w:r>
              <w:rPr>
                <w:sz w:val="18"/>
                <w:szCs w:val="21"/>
              </w:rPr>
              <w:t>3</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20</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3.47</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r>
              <w:rPr>
                <w:rFonts w:hint="eastAsia"/>
                <w:sz w:val="18"/>
                <w:szCs w:val="21"/>
                <w:lang w:eastAsia="zh-CN"/>
              </w:rPr>
              <w:t>.</w:t>
            </w:r>
            <w:r>
              <w:rPr>
                <w:sz w:val="18"/>
                <w:szCs w:val="21"/>
              </w:rPr>
              <w:t>72</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19</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11</w:t>
            </w:r>
            <w:r>
              <w:rPr>
                <w:rFonts w:hint="eastAsia"/>
                <w:sz w:val="18"/>
                <w:szCs w:val="21"/>
                <w:lang w:eastAsia="zh-CN"/>
              </w:rPr>
              <w:t>.</w:t>
            </w:r>
            <w:r>
              <w:rPr>
                <w:sz w:val="18"/>
                <w:szCs w:val="21"/>
              </w:rPr>
              <w:t>73</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苯并[b]荧蒽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9</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20</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17</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48</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91</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15</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苯并[j]荧蒽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0.1</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20</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29</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82</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苯并[j]荧蒽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20</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29</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82</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苯并[j]荧蒽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22</w:t>
            </w:r>
            <w:r>
              <w:rPr>
                <w:rFonts w:hint="eastAsia"/>
                <w:sz w:val="18"/>
                <w:szCs w:val="21"/>
                <w:lang w:eastAsia="zh-CN"/>
              </w:rPr>
              <w:t>.</w:t>
            </w:r>
            <w:r>
              <w:rPr>
                <w:sz w:val="18"/>
                <w:szCs w:val="21"/>
              </w:rPr>
              <w:t>8</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20</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32</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49</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57</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12</w:t>
            </w:r>
            <w:r>
              <w:rPr>
                <w:rFonts w:hint="eastAsia"/>
                <w:sz w:val="18"/>
                <w:szCs w:val="21"/>
                <w:lang w:eastAsia="zh-CN"/>
              </w:rPr>
              <w:t>.</w:t>
            </w:r>
            <w:r>
              <w:rPr>
                <w:sz w:val="18"/>
                <w:szCs w:val="21"/>
              </w:rPr>
              <w:t>81</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苯并[j]荧蒽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5</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20</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05</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15</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4</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13</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苯并[k]荧蒽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0.1</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23</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39</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08</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苯并[k]荧蒽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0.1</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23</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38</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06</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苯并[k]荧蒽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25.3</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32</w:t>
            </w:r>
            <w:r>
              <w:rPr>
                <w:rFonts w:hint="eastAsia"/>
                <w:sz w:val="18"/>
                <w:szCs w:val="21"/>
                <w:lang w:eastAsia="zh-CN"/>
              </w:rPr>
              <w:t>.</w:t>
            </w:r>
            <w:r>
              <w:rPr>
                <w:sz w:val="18"/>
                <w:szCs w:val="21"/>
              </w:rPr>
              <w:t>5</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23</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47</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11</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23</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25</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苯并[k]荧蒽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6</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23</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11</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32</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5</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39</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苯并[e]芘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苯并[e]芘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苯并[e]芘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48</w:t>
            </w:r>
            <w:r>
              <w:rPr>
                <w:rFonts w:hint="eastAsia"/>
                <w:sz w:val="18"/>
                <w:szCs w:val="21"/>
                <w:lang w:eastAsia="zh-CN"/>
              </w:rPr>
              <w:t>.</w:t>
            </w:r>
            <w:r>
              <w:rPr>
                <w:sz w:val="18"/>
                <w:szCs w:val="21"/>
              </w:rPr>
              <w:t>3</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63</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22</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23</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26</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63</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21</w:t>
            </w:r>
            <w:r>
              <w:rPr>
                <w:rFonts w:hint="eastAsia"/>
                <w:sz w:val="18"/>
                <w:szCs w:val="21"/>
                <w:lang w:eastAsia="zh-CN"/>
              </w:rPr>
              <w:t>.</w:t>
            </w:r>
            <w:r>
              <w:rPr>
                <w:sz w:val="18"/>
                <w:szCs w:val="21"/>
              </w:rPr>
              <w:t>37</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苯并[e]芘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1</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6</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19</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28</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8</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97</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72</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苯并[a]芘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66</w:t>
            </w:r>
            <w:r>
              <w:rPr>
                <w:rFonts w:hint="eastAsia"/>
                <w:sz w:val="18"/>
                <w:szCs w:val="21"/>
                <w:lang w:eastAsia="zh-CN"/>
              </w:rPr>
              <w:t>.</w:t>
            </w:r>
            <w:r>
              <w:rPr>
                <w:sz w:val="18"/>
                <w:szCs w:val="21"/>
              </w:rPr>
              <w:t>5</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115</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44</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12</w:t>
            </w:r>
            <w:r>
              <w:rPr>
                <w:rFonts w:hint="eastAsia"/>
                <w:sz w:val="18"/>
                <w:szCs w:val="21"/>
                <w:lang w:eastAsia="zh-CN"/>
              </w:rPr>
              <w:t>.</w:t>
            </w:r>
            <w:r>
              <w:rPr>
                <w:sz w:val="18"/>
                <w:szCs w:val="21"/>
              </w:rPr>
              <w:t>43</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14</w:t>
            </w:r>
            <w:r>
              <w:rPr>
                <w:rFonts w:hint="eastAsia"/>
                <w:sz w:val="18"/>
                <w:szCs w:val="21"/>
                <w:lang w:eastAsia="zh-CN"/>
              </w:rPr>
              <w:t>.</w:t>
            </w:r>
            <w:r>
              <w:rPr>
                <w:sz w:val="18"/>
                <w:szCs w:val="21"/>
              </w:rPr>
              <w:t>13</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39</w:t>
            </w:r>
            <w:r>
              <w:rPr>
                <w:rFonts w:hint="eastAsia"/>
                <w:sz w:val="18"/>
                <w:szCs w:val="21"/>
                <w:lang w:eastAsia="zh-CN"/>
              </w:rPr>
              <w:t>.</w:t>
            </w:r>
            <w:r>
              <w:rPr>
                <w:sz w:val="18"/>
                <w:szCs w:val="21"/>
              </w:rPr>
              <w:t>57</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苯并[a]芘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30</w:t>
            </w:r>
            <w:r>
              <w:rPr>
                <w:rFonts w:hint="eastAsia"/>
                <w:sz w:val="18"/>
                <w:szCs w:val="21"/>
                <w:lang w:eastAsia="zh-CN"/>
              </w:rPr>
              <w:t>.</w:t>
            </w:r>
            <w:r>
              <w:rPr>
                <w:sz w:val="18"/>
                <w:szCs w:val="21"/>
              </w:rPr>
              <w:t>4</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41</w:t>
            </w:r>
            <w:r>
              <w:rPr>
                <w:rFonts w:hint="eastAsia"/>
                <w:sz w:val="18"/>
                <w:szCs w:val="21"/>
                <w:lang w:eastAsia="zh-CN"/>
              </w:rPr>
              <w:t>.</w:t>
            </w:r>
            <w:r>
              <w:rPr>
                <w:sz w:val="18"/>
                <w:szCs w:val="21"/>
              </w:rPr>
              <w:t>1</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77</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4</w:t>
            </w:r>
            <w:r>
              <w:rPr>
                <w:rFonts w:hint="eastAsia"/>
                <w:sz w:val="18"/>
                <w:szCs w:val="21"/>
                <w:lang w:eastAsia="zh-CN"/>
              </w:rPr>
              <w:t>.</w:t>
            </w:r>
            <w:r>
              <w:rPr>
                <w:sz w:val="18"/>
                <w:szCs w:val="21"/>
              </w:rPr>
              <w:t>97</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87</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19</w:t>
            </w:r>
            <w:r>
              <w:rPr>
                <w:rFonts w:hint="eastAsia"/>
                <w:sz w:val="18"/>
                <w:szCs w:val="21"/>
                <w:lang w:eastAsia="zh-CN"/>
              </w:rPr>
              <w:t>.</w:t>
            </w:r>
            <w:r>
              <w:rPr>
                <w:sz w:val="18"/>
                <w:szCs w:val="21"/>
              </w:rPr>
              <w:t>24</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苯并[a]芘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51</w:t>
            </w:r>
            <w:r>
              <w:rPr>
                <w:rFonts w:hint="eastAsia"/>
                <w:sz w:val="18"/>
                <w:szCs w:val="21"/>
                <w:lang w:eastAsia="zh-CN"/>
              </w:rPr>
              <w:t>.</w:t>
            </w:r>
            <w:r>
              <w:rPr>
                <w:sz w:val="18"/>
                <w:szCs w:val="21"/>
              </w:rPr>
              <w:t>7</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80</w:t>
            </w:r>
            <w:r>
              <w:rPr>
                <w:rFonts w:hint="eastAsia"/>
                <w:sz w:val="18"/>
                <w:szCs w:val="21"/>
                <w:lang w:eastAsia="zh-CN"/>
              </w:rPr>
              <w:t>.</w:t>
            </w:r>
            <w:r>
              <w:rPr>
                <w:sz w:val="18"/>
                <w:szCs w:val="21"/>
              </w:rPr>
              <w:t>8</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66</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44</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57</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15</w:t>
            </w:r>
            <w:r>
              <w:rPr>
                <w:rFonts w:hint="eastAsia"/>
                <w:sz w:val="18"/>
                <w:szCs w:val="21"/>
                <w:lang w:eastAsia="zh-CN"/>
              </w:rPr>
              <w:t>.</w:t>
            </w:r>
            <w:r>
              <w:rPr>
                <w:sz w:val="18"/>
                <w:szCs w:val="21"/>
              </w:rPr>
              <w:t>6</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苯并[a]芘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3</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6</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24</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69</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66</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85</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茚并[1</w:t>
            </w:r>
            <w:r>
              <w:rPr>
                <w:rFonts w:hint="eastAsia"/>
                <w:sz w:val="18"/>
                <w:szCs w:val="21"/>
                <w:lang w:eastAsia="zh-CN"/>
              </w:rPr>
              <w:t>，</w:t>
            </w:r>
            <w:r>
              <w:rPr>
                <w:sz w:val="18"/>
                <w:szCs w:val="21"/>
              </w:rPr>
              <w:t>2</w:t>
            </w:r>
            <w:r>
              <w:rPr>
                <w:rFonts w:hint="eastAsia"/>
                <w:sz w:val="18"/>
                <w:szCs w:val="21"/>
                <w:lang w:eastAsia="zh-CN"/>
              </w:rPr>
              <w:t>，</w:t>
            </w:r>
            <w:r>
              <w:rPr>
                <w:sz w:val="18"/>
                <w:szCs w:val="21"/>
              </w:rPr>
              <w:t>3cd]芘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53</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47</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茚并[1</w:t>
            </w:r>
            <w:r>
              <w:rPr>
                <w:rFonts w:hint="eastAsia"/>
                <w:sz w:val="18"/>
                <w:szCs w:val="21"/>
                <w:lang w:eastAsia="zh-CN"/>
              </w:rPr>
              <w:t>，</w:t>
            </w:r>
            <w:r>
              <w:rPr>
                <w:sz w:val="18"/>
                <w:szCs w:val="21"/>
              </w:rPr>
              <w:t>2</w:t>
            </w:r>
            <w:r>
              <w:rPr>
                <w:rFonts w:hint="eastAsia"/>
                <w:sz w:val="18"/>
                <w:szCs w:val="21"/>
                <w:lang w:eastAsia="zh-CN"/>
              </w:rPr>
              <w:t>，</w:t>
            </w:r>
            <w:r>
              <w:rPr>
                <w:sz w:val="18"/>
                <w:szCs w:val="21"/>
              </w:rPr>
              <w:t>3cd]芘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0.1</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01</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52</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45</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茚并[1</w:t>
            </w:r>
            <w:r>
              <w:rPr>
                <w:rFonts w:hint="eastAsia"/>
                <w:sz w:val="18"/>
                <w:szCs w:val="21"/>
                <w:lang w:eastAsia="zh-CN"/>
              </w:rPr>
              <w:t>，</w:t>
            </w:r>
            <w:r>
              <w:rPr>
                <w:sz w:val="18"/>
                <w:szCs w:val="21"/>
              </w:rPr>
              <w:t>2</w:t>
            </w:r>
            <w:r>
              <w:rPr>
                <w:rFonts w:hint="eastAsia"/>
                <w:sz w:val="18"/>
                <w:szCs w:val="21"/>
                <w:lang w:eastAsia="zh-CN"/>
              </w:rPr>
              <w:t>，</w:t>
            </w:r>
            <w:r>
              <w:rPr>
                <w:sz w:val="18"/>
                <w:szCs w:val="21"/>
              </w:rPr>
              <w:t>3cd]芘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35.6</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58</w:t>
            </w:r>
            <w:r>
              <w:rPr>
                <w:rFonts w:hint="eastAsia"/>
                <w:sz w:val="18"/>
                <w:szCs w:val="21"/>
                <w:lang w:eastAsia="zh-CN"/>
              </w:rPr>
              <w:t>.</w:t>
            </w:r>
            <w:r>
              <w:rPr>
                <w:sz w:val="18"/>
                <w:szCs w:val="21"/>
              </w:rPr>
              <w:t>4</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23</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43</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8</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62</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21</w:t>
            </w:r>
            <w:r>
              <w:rPr>
                <w:rFonts w:hint="eastAsia"/>
                <w:sz w:val="18"/>
                <w:szCs w:val="21"/>
                <w:lang w:eastAsia="zh-CN"/>
              </w:rPr>
              <w:t>.</w:t>
            </w:r>
            <w:r>
              <w:rPr>
                <w:sz w:val="18"/>
                <w:szCs w:val="21"/>
              </w:rPr>
              <w:t>34</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茚并[1</w:t>
            </w:r>
            <w:r>
              <w:rPr>
                <w:rFonts w:hint="eastAsia"/>
                <w:sz w:val="18"/>
                <w:szCs w:val="21"/>
                <w:lang w:eastAsia="zh-CN"/>
              </w:rPr>
              <w:t>，</w:t>
            </w:r>
            <w:r>
              <w:rPr>
                <w:sz w:val="18"/>
                <w:szCs w:val="21"/>
              </w:rPr>
              <w:t>2</w:t>
            </w:r>
            <w:r>
              <w:rPr>
                <w:rFonts w:hint="eastAsia"/>
                <w:sz w:val="18"/>
                <w:szCs w:val="21"/>
                <w:lang w:eastAsia="zh-CN"/>
              </w:rPr>
              <w:t>，</w:t>
            </w:r>
            <w:r>
              <w:rPr>
                <w:sz w:val="18"/>
                <w:szCs w:val="21"/>
              </w:rPr>
              <w:t>3cd]芘</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2.6</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23</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16</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44</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2.8</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83</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二苯并[a</w:t>
            </w:r>
            <w:r>
              <w:rPr>
                <w:rFonts w:hint="eastAsia"/>
                <w:sz w:val="18"/>
                <w:szCs w:val="21"/>
                <w:lang w:eastAsia="zh-CN"/>
              </w:rPr>
              <w:t>，</w:t>
            </w:r>
            <w:r>
              <w:rPr>
                <w:sz w:val="18"/>
                <w:szCs w:val="21"/>
              </w:rPr>
              <w:t>h]蒽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03</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09</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78</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19</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二苯并[a</w:t>
            </w:r>
            <w:r>
              <w:rPr>
                <w:rFonts w:hint="eastAsia"/>
                <w:sz w:val="18"/>
                <w:szCs w:val="21"/>
                <w:lang w:eastAsia="zh-CN"/>
              </w:rPr>
              <w:t>，</w:t>
            </w:r>
            <w:r>
              <w:rPr>
                <w:sz w:val="18"/>
                <w:szCs w:val="21"/>
              </w:rPr>
              <w:t>h]蒽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3</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04</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12</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93</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59</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二苯并[a</w:t>
            </w:r>
            <w:r>
              <w:rPr>
                <w:rFonts w:hint="eastAsia"/>
                <w:sz w:val="18"/>
                <w:szCs w:val="21"/>
                <w:lang w:eastAsia="zh-CN"/>
              </w:rPr>
              <w:t>，</w:t>
            </w:r>
            <w:r>
              <w:rPr>
                <w:sz w:val="18"/>
                <w:szCs w:val="21"/>
              </w:rPr>
              <w:t>h]蒽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r>
              <w:rPr>
                <w:rFonts w:hint="eastAsia"/>
                <w:sz w:val="18"/>
                <w:szCs w:val="21"/>
                <w:lang w:eastAsia="zh-CN"/>
              </w:rPr>
              <w:t>.</w:t>
            </w:r>
            <w:r>
              <w:rPr>
                <w:sz w:val="18"/>
                <w:szCs w:val="21"/>
              </w:rPr>
              <w:t>9</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13</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23</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74</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07</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09</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85</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二苯并[a</w:t>
            </w:r>
            <w:r>
              <w:rPr>
                <w:rFonts w:hint="eastAsia"/>
                <w:sz w:val="18"/>
                <w:szCs w:val="21"/>
                <w:lang w:eastAsia="zh-CN"/>
              </w:rPr>
              <w:t>，</w:t>
            </w:r>
            <w:r>
              <w:rPr>
                <w:sz w:val="18"/>
                <w:szCs w:val="21"/>
              </w:rPr>
              <w:t>h]蒽</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3</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09</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24</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65</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83</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苯并[ghi]苝</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1</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43</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2</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苯并[ghi]苝</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0.1</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42</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17</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苯并[ghi]苝</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39</w:t>
            </w:r>
            <w:r>
              <w:rPr>
                <w:rFonts w:hint="eastAsia"/>
                <w:sz w:val="18"/>
                <w:szCs w:val="21"/>
                <w:lang w:eastAsia="zh-CN"/>
              </w:rPr>
              <w:t>.</w:t>
            </w:r>
            <w:r>
              <w:rPr>
                <w:sz w:val="18"/>
                <w:szCs w:val="21"/>
              </w:rPr>
              <w:t>7</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53</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3.3</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r>
              <w:rPr>
                <w:rFonts w:hint="eastAsia"/>
                <w:sz w:val="18"/>
                <w:szCs w:val="21"/>
                <w:lang w:eastAsia="zh-CN"/>
              </w:rPr>
              <w:t>.</w:t>
            </w:r>
            <w:r>
              <w:rPr>
                <w:sz w:val="18"/>
                <w:szCs w:val="21"/>
              </w:rPr>
              <w:t>24</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6</w:t>
            </w:r>
            <w:r>
              <w:rPr>
                <w:rFonts w:hint="eastAsia"/>
                <w:sz w:val="18"/>
                <w:szCs w:val="21"/>
                <w:lang w:eastAsia="zh-CN"/>
              </w:rPr>
              <w:t>.</w:t>
            </w:r>
            <w:r>
              <w:rPr>
                <w:sz w:val="18"/>
                <w:szCs w:val="21"/>
              </w:rPr>
              <w:t>61</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18</w:t>
            </w:r>
            <w:r>
              <w:rPr>
                <w:rFonts w:hint="eastAsia"/>
                <w:sz w:val="18"/>
                <w:szCs w:val="21"/>
                <w:lang w:eastAsia="zh-CN"/>
              </w:rPr>
              <w:t>.</w:t>
            </w:r>
            <w:r>
              <w:rPr>
                <w:sz w:val="18"/>
                <w:szCs w:val="21"/>
              </w:rPr>
              <w:t>51</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苯并[ghi]苝</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7.3</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67</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88</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w:t>
            </w:r>
            <w:r>
              <w:rPr>
                <w:rFonts w:hint="eastAsia"/>
                <w:sz w:val="18"/>
                <w:szCs w:val="21"/>
                <w:lang w:eastAsia="zh-CN"/>
              </w:rPr>
              <w:t>.</w:t>
            </w:r>
            <w:r>
              <w:rPr>
                <w:sz w:val="18"/>
                <w:szCs w:val="21"/>
              </w:rPr>
              <w:t>73</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66</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3种</w:t>
            </w:r>
            <w:r>
              <w:rPr>
                <w:rFonts w:hint="eastAsia"/>
                <w:sz w:val="18"/>
                <w:szCs w:val="21"/>
                <w:lang w:eastAsia="zh-CN"/>
              </w:rPr>
              <w:t>PAHs</w:t>
            </w:r>
            <w:r>
              <w:rPr>
                <w:sz w:val="18"/>
                <w:szCs w:val="21"/>
              </w:rPr>
              <w:t>之和</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71</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98</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3种</w:t>
            </w:r>
            <w:r>
              <w:rPr>
                <w:rFonts w:hint="eastAsia"/>
                <w:sz w:val="18"/>
                <w:szCs w:val="21"/>
                <w:lang w:eastAsia="zh-CN"/>
              </w:rPr>
              <w:t>PAHs</w:t>
            </w:r>
            <w:r>
              <w:rPr>
                <w:sz w:val="18"/>
                <w:szCs w:val="21"/>
              </w:rPr>
              <w:t>之和</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02</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05</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69</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94</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3种</w:t>
            </w:r>
            <w:r>
              <w:rPr>
                <w:rFonts w:hint="eastAsia"/>
                <w:sz w:val="18"/>
                <w:szCs w:val="21"/>
                <w:lang w:eastAsia="zh-CN"/>
              </w:rPr>
              <w:t>PAHs</w:t>
            </w:r>
            <w:r>
              <w:rPr>
                <w:sz w:val="18"/>
                <w:szCs w:val="21"/>
              </w:rPr>
              <w:t>之和</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107.5</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141</w:t>
            </w:r>
            <w:r>
              <w:rPr>
                <w:rFonts w:hint="eastAsia"/>
                <w:sz w:val="18"/>
                <w:szCs w:val="21"/>
                <w:lang w:eastAsia="zh-CN"/>
              </w:rPr>
              <w:t>.</w:t>
            </w:r>
            <w:r>
              <w:rPr>
                <w:sz w:val="18"/>
                <w:szCs w:val="21"/>
              </w:rPr>
              <w:t>1</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23</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5</w:t>
            </w:r>
            <w:r>
              <w:rPr>
                <w:rFonts w:hint="eastAsia"/>
                <w:sz w:val="18"/>
                <w:szCs w:val="21"/>
                <w:lang w:eastAsia="zh-CN"/>
              </w:rPr>
              <w:t>.</w:t>
            </w:r>
            <w:r>
              <w:rPr>
                <w:sz w:val="18"/>
                <w:szCs w:val="21"/>
              </w:rPr>
              <w:t>93</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16</w:t>
            </w:r>
            <w:r>
              <w:rPr>
                <w:rFonts w:hint="eastAsia"/>
                <w:sz w:val="18"/>
                <w:szCs w:val="21"/>
                <w:lang w:eastAsia="zh-CN"/>
              </w:rPr>
              <w:t>.</w:t>
            </w:r>
            <w:r>
              <w:rPr>
                <w:sz w:val="18"/>
                <w:szCs w:val="21"/>
              </w:rPr>
              <w:t>6</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86</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21</w:t>
            </w:r>
            <w:r>
              <w:rPr>
                <w:rFonts w:hint="eastAsia"/>
                <w:sz w:val="18"/>
                <w:szCs w:val="21"/>
                <w:lang w:eastAsia="zh-CN"/>
              </w:rPr>
              <w:t>.</w:t>
            </w:r>
            <w:r>
              <w:rPr>
                <w:sz w:val="18"/>
                <w:szCs w:val="21"/>
              </w:rPr>
              <w:t>99</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3种</w:t>
            </w:r>
            <w:r>
              <w:rPr>
                <w:rFonts w:hint="eastAsia"/>
                <w:sz w:val="18"/>
                <w:szCs w:val="21"/>
                <w:lang w:eastAsia="zh-CN"/>
              </w:rPr>
              <w:t>PAHs</w:t>
            </w:r>
            <w:r>
              <w:rPr>
                <w:sz w:val="18"/>
                <w:szCs w:val="21"/>
              </w:rPr>
              <w:t>之和</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2</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24</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0</w:t>
            </w:r>
            <w:r>
              <w:rPr>
                <w:rFonts w:hint="eastAsia"/>
                <w:sz w:val="18"/>
                <w:szCs w:val="21"/>
                <w:lang w:eastAsia="zh-CN"/>
              </w:rPr>
              <w:t>.</w:t>
            </w:r>
            <w:r>
              <w:rPr>
                <w:sz w:val="18"/>
                <w:szCs w:val="21"/>
              </w:rPr>
              <w:t>67</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w:t>
            </w:r>
            <w:r>
              <w:rPr>
                <w:rFonts w:hint="eastAsia"/>
                <w:sz w:val="18"/>
                <w:szCs w:val="21"/>
                <w:lang w:eastAsia="zh-CN"/>
              </w:rPr>
              <w:t>.</w:t>
            </w:r>
            <w:r>
              <w:rPr>
                <w:sz w:val="18"/>
                <w:szCs w:val="21"/>
              </w:rPr>
              <w:t>23</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3</w:t>
            </w:r>
            <w:r>
              <w:rPr>
                <w:rFonts w:hint="eastAsia"/>
                <w:sz w:val="18"/>
                <w:szCs w:val="21"/>
                <w:lang w:eastAsia="zh-CN"/>
              </w:rPr>
              <w:t>.</w:t>
            </w:r>
            <w:r>
              <w:rPr>
                <w:sz w:val="18"/>
                <w:szCs w:val="21"/>
              </w:rPr>
              <w:t>44</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IIS10-A01</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18种</w:t>
            </w:r>
            <w:r>
              <w:rPr>
                <w:rFonts w:hint="eastAsia"/>
                <w:sz w:val="18"/>
                <w:szCs w:val="21"/>
                <w:lang w:eastAsia="zh-CN"/>
              </w:rPr>
              <w:t>PAHs</w:t>
            </w:r>
            <w:r>
              <w:rPr>
                <w:sz w:val="18"/>
                <w:szCs w:val="21"/>
              </w:rPr>
              <w:t>之和</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656</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876</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21</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r>
              <w:rPr>
                <w:rFonts w:hint="eastAsia"/>
                <w:sz w:val="18"/>
                <w:szCs w:val="21"/>
                <w:lang w:eastAsia="zh-CN"/>
              </w:rPr>
              <w:t>.</w:t>
            </w:r>
            <w:r>
              <w:rPr>
                <w:sz w:val="18"/>
                <w:szCs w:val="21"/>
              </w:rPr>
              <w:t>6</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77</w:t>
            </w:r>
            <w:r>
              <w:rPr>
                <w:rFonts w:hint="eastAsia"/>
                <w:sz w:val="18"/>
                <w:szCs w:val="21"/>
                <w:lang w:eastAsia="zh-CN"/>
              </w:rPr>
              <w:t>.</w:t>
            </w:r>
            <w:r>
              <w:rPr>
                <w:sz w:val="18"/>
                <w:szCs w:val="21"/>
              </w:rPr>
              <w:t>2</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98</w:t>
            </w:r>
            <w:r>
              <w:rPr>
                <w:rFonts w:hint="eastAsia"/>
                <w:sz w:val="18"/>
                <w:szCs w:val="21"/>
                <w:lang w:eastAsia="zh-CN"/>
              </w:rPr>
              <w:t>.</w:t>
            </w:r>
            <w:r>
              <w:rPr>
                <w:sz w:val="18"/>
                <w:szCs w:val="21"/>
              </w:rPr>
              <w:t>66</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276</w:t>
            </w:r>
            <w:r>
              <w:rPr>
                <w:rFonts w:hint="eastAsia"/>
                <w:sz w:val="18"/>
                <w:szCs w:val="21"/>
                <w:lang w:eastAsia="zh-CN"/>
              </w:rPr>
              <w:t>.</w:t>
            </w:r>
            <w:r>
              <w:rPr>
                <w:sz w:val="18"/>
                <w:szCs w:val="21"/>
              </w:rPr>
              <w:t>25</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IIS10-B02</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18种</w:t>
            </w:r>
            <w:r>
              <w:rPr>
                <w:rFonts w:hint="eastAsia"/>
                <w:sz w:val="18"/>
                <w:szCs w:val="21"/>
                <w:lang w:eastAsia="zh-CN"/>
              </w:rPr>
              <w:t>PAHs</w:t>
            </w:r>
            <w:r>
              <w:rPr>
                <w:sz w:val="18"/>
                <w:szCs w:val="21"/>
              </w:rPr>
              <w:t>之和</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270</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322</w:t>
            </w:r>
            <w:r>
              <w:rPr>
                <w:rFonts w:hint="eastAsia"/>
                <w:sz w:val="18"/>
                <w:szCs w:val="21"/>
                <w:lang w:eastAsia="zh-CN"/>
              </w:rPr>
              <w:t>.</w:t>
            </w:r>
            <w:r>
              <w:rPr>
                <w:sz w:val="18"/>
                <w:szCs w:val="21"/>
              </w:rPr>
              <w:t>7</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27</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3</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23</w:t>
            </w:r>
            <w:r>
              <w:rPr>
                <w:rFonts w:hint="eastAsia"/>
                <w:sz w:val="18"/>
                <w:szCs w:val="21"/>
                <w:lang w:eastAsia="zh-CN"/>
              </w:rPr>
              <w:t>.</w:t>
            </w:r>
            <w:r>
              <w:rPr>
                <w:sz w:val="18"/>
                <w:szCs w:val="21"/>
              </w:rPr>
              <w:t>4</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64</w:t>
            </w:r>
            <w:r>
              <w:rPr>
                <w:rFonts w:hint="eastAsia"/>
                <w:sz w:val="18"/>
                <w:szCs w:val="21"/>
                <w:lang w:eastAsia="zh-CN"/>
              </w:rPr>
              <w:t>.</w:t>
            </w:r>
            <w:r>
              <w:rPr>
                <w:sz w:val="18"/>
                <w:szCs w:val="21"/>
              </w:rPr>
              <w:t>48</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180</w:t>
            </w:r>
            <w:r>
              <w:rPr>
                <w:rFonts w:hint="eastAsia"/>
                <w:sz w:val="18"/>
                <w:szCs w:val="21"/>
                <w:lang w:eastAsia="zh-CN"/>
              </w:rPr>
              <w:t>.</w:t>
            </w:r>
            <w:r>
              <w:rPr>
                <w:sz w:val="18"/>
                <w:szCs w:val="21"/>
              </w:rPr>
              <w:t>54</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10</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0</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IIS10-C03</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18种</w:t>
            </w:r>
            <w:r>
              <w:rPr>
                <w:rFonts w:hint="eastAsia"/>
                <w:sz w:val="18"/>
                <w:szCs w:val="21"/>
                <w:lang w:eastAsia="zh-CN"/>
              </w:rPr>
              <w:t>PAHs</w:t>
            </w:r>
            <w:r>
              <w:rPr>
                <w:sz w:val="18"/>
                <w:szCs w:val="21"/>
              </w:rPr>
              <w:t>之和</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1 041</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1 289</w:t>
            </w:r>
            <w:r>
              <w:rPr>
                <w:rFonts w:hint="eastAsia"/>
                <w:sz w:val="18"/>
                <w:szCs w:val="21"/>
                <w:lang w:eastAsia="zh-CN"/>
              </w:rPr>
              <w:t>.</w:t>
            </w:r>
            <w:r>
              <w:rPr>
                <w:sz w:val="18"/>
                <w:szCs w:val="21"/>
              </w:rPr>
              <w:t>40</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24</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36</w:t>
            </w:r>
            <w:r>
              <w:rPr>
                <w:rFonts w:hint="eastAsia"/>
                <w:sz w:val="18"/>
                <w:szCs w:val="21"/>
                <w:lang w:eastAsia="zh-CN"/>
              </w:rPr>
              <w:t>.</w:t>
            </w:r>
            <w:r>
              <w:rPr>
                <w:sz w:val="18"/>
                <w:szCs w:val="21"/>
              </w:rPr>
              <w:t>8</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102</w:t>
            </w:r>
            <w:r>
              <w:rPr>
                <w:rFonts w:hint="eastAsia"/>
                <w:sz w:val="18"/>
                <w:szCs w:val="21"/>
                <w:lang w:eastAsia="zh-CN"/>
              </w:rPr>
              <w:t>.</w:t>
            </w:r>
            <w:r>
              <w:rPr>
                <w:sz w:val="18"/>
                <w:szCs w:val="21"/>
              </w:rPr>
              <w:t>9</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128</w:t>
            </w:r>
            <w:r>
              <w:rPr>
                <w:rFonts w:hint="eastAsia"/>
                <w:sz w:val="18"/>
                <w:szCs w:val="21"/>
                <w:lang w:eastAsia="zh-CN"/>
              </w:rPr>
              <w:t>.</w:t>
            </w:r>
            <w:r>
              <w:rPr>
                <w:sz w:val="18"/>
                <w:szCs w:val="21"/>
              </w:rPr>
              <w:t>31</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359</w:t>
            </w:r>
            <w:r>
              <w:rPr>
                <w:rFonts w:hint="eastAsia"/>
                <w:sz w:val="18"/>
                <w:szCs w:val="21"/>
                <w:lang w:eastAsia="zh-CN"/>
              </w:rPr>
              <w:t>.</w:t>
            </w:r>
            <w:r>
              <w:rPr>
                <w:sz w:val="18"/>
                <w:szCs w:val="21"/>
              </w:rPr>
              <w:t>26</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9</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1</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p>
        </w:tc>
        <w:tc>
          <w:tcPr>
            <w:tcW w:w="947" w:type="dxa"/>
            <w:tcBorders>
              <w:top w:val="single" w:color="auto" w:sz="4" w:space="0"/>
              <w:left w:val="single" w:color="auto" w:sz="4" w:space="0"/>
            </w:tcBorders>
            <w:shd w:val="clear" w:color="auto" w:fill="FFFFFF"/>
            <w:vAlign w:val="center"/>
          </w:tcPr>
          <w:p>
            <w:pPr>
              <w:jc w:val="center"/>
              <w:rPr>
                <w:sz w:val="18"/>
                <w:szCs w:val="21"/>
              </w:rPr>
            </w:pPr>
            <w:r>
              <w:rPr>
                <w:sz w:val="18"/>
                <w:szCs w:val="21"/>
              </w:rPr>
              <w:t>IIS10-D04</w:t>
            </w:r>
          </w:p>
        </w:tc>
        <w:tc>
          <w:tcPr>
            <w:tcW w:w="1878" w:type="dxa"/>
            <w:tcBorders>
              <w:top w:val="single" w:color="auto" w:sz="4" w:space="0"/>
              <w:left w:val="single" w:color="auto" w:sz="4" w:space="0"/>
            </w:tcBorders>
            <w:shd w:val="clear" w:color="auto" w:fill="FFFFFF"/>
            <w:vAlign w:val="center"/>
          </w:tcPr>
          <w:p>
            <w:pPr>
              <w:rPr>
                <w:sz w:val="18"/>
                <w:szCs w:val="21"/>
              </w:rPr>
            </w:pPr>
            <w:r>
              <w:rPr>
                <w:sz w:val="18"/>
                <w:szCs w:val="21"/>
              </w:rPr>
              <w:t>18种</w:t>
            </w:r>
            <w:r>
              <w:rPr>
                <w:rFonts w:hint="eastAsia"/>
                <w:sz w:val="18"/>
                <w:szCs w:val="21"/>
                <w:lang w:eastAsia="zh-CN"/>
              </w:rPr>
              <w:t>PAHs</w:t>
            </w:r>
            <w:r>
              <w:rPr>
                <w:sz w:val="18"/>
                <w:szCs w:val="21"/>
              </w:rPr>
              <w:t>之和</w:t>
            </w:r>
          </w:p>
        </w:tc>
        <w:tc>
          <w:tcPr>
            <w:tcW w:w="1041" w:type="dxa"/>
            <w:tcBorders>
              <w:top w:val="single" w:color="auto" w:sz="4" w:space="0"/>
              <w:left w:val="single" w:color="auto" w:sz="4" w:space="0"/>
            </w:tcBorders>
            <w:shd w:val="clear" w:color="auto" w:fill="FFFFFF"/>
            <w:vAlign w:val="center"/>
          </w:tcPr>
          <w:p>
            <w:pPr>
              <w:jc w:val="center"/>
              <w:rPr>
                <w:sz w:val="18"/>
                <w:szCs w:val="21"/>
              </w:rPr>
            </w:pPr>
            <w:r>
              <w:rPr>
                <w:sz w:val="18"/>
                <w:szCs w:val="21"/>
              </w:rPr>
              <w:t>89</w:t>
            </w:r>
            <w:r>
              <w:rPr>
                <w:rFonts w:hint="eastAsia"/>
                <w:sz w:val="18"/>
                <w:szCs w:val="21"/>
                <w:lang w:eastAsia="zh-CN"/>
              </w:rPr>
              <w:t>.</w:t>
            </w:r>
            <w:r>
              <w:rPr>
                <w:sz w:val="18"/>
                <w:szCs w:val="21"/>
              </w:rPr>
              <w:t>07</w:t>
            </w:r>
          </w:p>
        </w:tc>
        <w:tc>
          <w:tcPr>
            <w:tcW w:w="858" w:type="dxa"/>
            <w:tcBorders>
              <w:top w:val="single" w:color="auto" w:sz="4" w:space="0"/>
              <w:left w:val="single" w:color="auto" w:sz="4" w:space="0"/>
            </w:tcBorders>
            <w:shd w:val="clear" w:color="auto" w:fill="FFFFFF"/>
            <w:vAlign w:val="center"/>
          </w:tcPr>
          <w:p>
            <w:pPr>
              <w:jc w:val="center"/>
              <w:rPr>
                <w:sz w:val="18"/>
                <w:szCs w:val="21"/>
              </w:rPr>
            </w:pPr>
            <w:r>
              <w:rPr>
                <w:sz w:val="18"/>
                <w:szCs w:val="21"/>
              </w:rPr>
              <w:t>8</w:t>
            </w:r>
            <w:r>
              <w:rPr>
                <w:rFonts w:hint="eastAsia"/>
                <w:sz w:val="18"/>
                <w:szCs w:val="21"/>
                <w:lang w:eastAsia="zh-CN"/>
              </w:rPr>
              <w:t>.</w:t>
            </w:r>
            <w:r>
              <w:rPr>
                <w:sz w:val="18"/>
                <w:szCs w:val="21"/>
              </w:rPr>
              <w:t>1</w:t>
            </w:r>
          </w:p>
        </w:tc>
        <w:tc>
          <w:tcPr>
            <w:tcW w:w="436" w:type="dxa"/>
            <w:tcBorders>
              <w:top w:val="single" w:color="auto" w:sz="4" w:space="0"/>
              <w:left w:val="single" w:color="auto" w:sz="4" w:space="0"/>
            </w:tcBorders>
            <w:shd w:val="clear" w:color="auto" w:fill="FFFFFF"/>
            <w:vAlign w:val="center"/>
          </w:tcPr>
          <w:p>
            <w:pPr>
              <w:jc w:val="center"/>
              <w:rPr>
                <w:sz w:val="18"/>
                <w:szCs w:val="21"/>
              </w:rPr>
            </w:pPr>
            <w:r>
              <w:rPr>
                <w:sz w:val="18"/>
                <w:szCs w:val="21"/>
              </w:rPr>
              <w:t>20</w:t>
            </w:r>
          </w:p>
        </w:tc>
        <w:tc>
          <w:tcPr>
            <w:tcW w:w="576"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r>
              <w:rPr>
                <w:rFonts w:hint="eastAsia"/>
                <w:sz w:val="18"/>
                <w:szCs w:val="21"/>
                <w:lang w:eastAsia="zh-CN"/>
              </w:rPr>
              <w:t>.</w:t>
            </w:r>
            <w:r>
              <w:rPr>
                <w:sz w:val="18"/>
                <w:szCs w:val="21"/>
              </w:rPr>
              <w:t>13</w:t>
            </w:r>
          </w:p>
        </w:tc>
        <w:tc>
          <w:tcPr>
            <w:tcW w:w="602" w:type="dxa"/>
            <w:tcBorders>
              <w:top w:val="single" w:color="auto" w:sz="4" w:space="0"/>
              <w:left w:val="single" w:color="auto" w:sz="4" w:space="0"/>
            </w:tcBorders>
            <w:shd w:val="clear" w:color="auto" w:fill="FFFFFF"/>
            <w:vAlign w:val="center"/>
          </w:tcPr>
          <w:p>
            <w:pPr>
              <w:jc w:val="center"/>
              <w:rPr>
                <w:sz w:val="18"/>
                <w:szCs w:val="21"/>
              </w:rPr>
            </w:pPr>
            <w:r>
              <w:rPr>
                <w:sz w:val="18"/>
                <w:szCs w:val="21"/>
              </w:rPr>
              <w:t>19</w:t>
            </w:r>
            <w:r>
              <w:rPr>
                <w:rFonts w:hint="eastAsia"/>
                <w:sz w:val="18"/>
                <w:szCs w:val="21"/>
                <w:lang w:eastAsia="zh-CN"/>
              </w:rPr>
              <w:t>.</w:t>
            </w:r>
            <w:r>
              <w:rPr>
                <w:sz w:val="18"/>
                <w:szCs w:val="21"/>
              </w:rPr>
              <w:t>96</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19</w:t>
            </w:r>
            <w:r>
              <w:rPr>
                <w:rFonts w:hint="eastAsia"/>
                <w:sz w:val="18"/>
                <w:szCs w:val="21"/>
                <w:lang w:eastAsia="zh-CN"/>
              </w:rPr>
              <w:t>.</w:t>
            </w:r>
            <w:r>
              <w:rPr>
                <w:sz w:val="18"/>
                <w:szCs w:val="21"/>
              </w:rPr>
              <w:t>57</w:t>
            </w:r>
          </w:p>
        </w:tc>
        <w:tc>
          <w:tcPr>
            <w:tcW w:w="610" w:type="dxa"/>
            <w:tcBorders>
              <w:top w:val="single" w:color="auto" w:sz="4" w:space="0"/>
              <w:left w:val="single" w:color="auto" w:sz="4" w:space="0"/>
            </w:tcBorders>
            <w:shd w:val="clear" w:color="auto" w:fill="FFFFFF"/>
            <w:vAlign w:val="center"/>
          </w:tcPr>
          <w:p>
            <w:pPr>
              <w:jc w:val="center"/>
              <w:rPr>
                <w:sz w:val="18"/>
                <w:szCs w:val="21"/>
              </w:rPr>
            </w:pPr>
            <w:r>
              <w:rPr>
                <w:sz w:val="18"/>
                <w:szCs w:val="21"/>
              </w:rPr>
              <w:t>54</w:t>
            </w:r>
            <w:r>
              <w:rPr>
                <w:rFonts w:hint="eastAsia"/>
                <w:sz w:val="18"/>
                <w:szCs w:val="21"/>
                <w:lang w:eastAsia="zh-CN"/>
              </w:rPr>
              <w:t>.</w:t>
            </w:r>
            <w:r>
              <w:rPr>
                <w:sz w:val="18"/>
                <w:szCs w:val="21"/>
              </w:rPr>
              <w:t>8</w:t>
            </w:r>
          </w:p>
        </w:tc>
        <w:tc>
          <w:tcPr>
            <w:tcW w:w="434" w:type="dxa"/>
            <w:tcBorders>
              <w:top w:val="single" w:color="auto" w:sz="4" w:space="0"/>
              <w:left w:val="single" w:color="auto" w:sz="4" w:space="0"/>
            </w:tcBorders>
            <w:shd w:val="clear" w:color="auto" w:fill="FFFFFF"/>
            <w:vAlign w:val="center"/>
          </w:tcPr>
          <w:p>
            <w:pPr>
              <w:jc w:val="center"/>
              <w:rPr>
                <w:sz w:val="18"/>
                <w:szCs w:val="21"/>
              </w:rPr>
            </w:pPr>
            <w:r>
              <w:rPr>
                <w:sz w:val="18"/>
                <w:szCs w:val="21"/>
              </w:rPr>
              <w:t>7</w:t>
            </w:r>
          </w:p>
        </w:tc>
        <w:tc>
          <w:tcPr>
            <w:tcW w:w="608" w:type="dxa"/>
            <w:tcBorders>
              <w:top w:val="single" w:color="auto" w:sz="4" w:space="0"/>
              <w:left w:val="single" w:color="auto" w:sz="4" w:space="0"/>
              <w:right w:val="single" w:color="auto" w:sz="4" w:space="0"/>
            </w:tcBorders>
            <w:shd w:val="clear" w:color="auto" w:fill="FFFFFF"/>
            <w:vAlign w:val="center"/>
          </w:tcPr>
          <w:p>
            <w:pPr>
              <w:jc w:val="center"/>
              <w:rPr>
                <w:sz w:val="18"/>
                <w:szCs w:val="21"/>
              </w:rPr>
            </w:pPr>
            <w:r>
              <w:rPr>
                <w:sz w:val="18"/>
                <w:szCs w:val="21"/>
              </w:rPr>
              <w:t>2</w:t>
            </w:r>
          </w:p>
        </w:tc>
      </w:tr>
      <w:tr>
        <w:tblPrEx>
          <w:tblLayout w:type="fixed"/>
          <w:tblCellMar>
            <w:top w:w="0" w:type="dxa"/>
            <w:left w:w="57" w:type="dxa"/>
            <w:bottom w:w="0" w:type="dxa"/>
            <w:right w:w="57" w:type="dxa"/>
          </w:tblCellMar>
        </w:tblPrEx>
        <w:tc>
          <w:tcPr>
            <w:tcW w:w="868" w:type="dxa"/>
            <w:tcBorders>
              <w:top w:val="single" w:color="auto" w:sz="4" w:space="0"/>
              <w:left w:val="single" w:color="auto" w:sz="4" w:space="0"/>
            </w:tcBorders>
            <w:shd w:val="clear" w:color="auto" w:fill="FFFFFF"/>
            <w:vAlign w:val="center"/>
          </w:tcPr>
          <w:p>
            <w:pPr>
              <w:jc w:val="center"/>
              <w:rPr>
                <w:sz w:val="18"/>
                <w:szCs w:val="21"/>
              </w:rPr>
            </w:pPr>
            <w:r>
              <w:rPr>
                <w:sz w:val="18"/>
                <w:szCs w:val="21"/>
              </w:rPr>
              <w:t>符号说明</w:t>
            </w:r>
          </w:p>
        </w:tc>
        <w:tc>
          <w:tcPr>
            <w:tcW w:w="947" w:type="dxa"/>
            <w:tcBorders>
              <w:top w:val="single" w:color="auto" w:sz="4" w:space="0"/>
            </w:tcBorders>
            <w:shd w:val="clear" w:color="auto" w:fill="FFFFFF"/>
            <w:vAlign w:val="center"/>
          </w:tcPr>
          <w:p>
            <w:pPr>
              <w:jc w:val="center"/>
              <w:rPr>
                <w:sz w:val="18"/>
                <w:szCs w:val="21"/>
              </w:rPr>
            </w:pPr>
          </w:p>
        </w:tc>
        <w:tc>
          <w:tcPr>
            <w:tcW w:w="1878" w:type="dxa"/>
            <w:tcBorders>
              <w:top w:val="single" w:color="auto" w:sz="4" w:space="0"/>
            </w:tcBorders>
            <w:shd w:val="clear" w:color="auto" w:fill="FFFFFF"/>
            <w:vAlign w:val="center"/>
          </w:tcPr>
          <w:p>
            <w:pPr>
              <w:jc w:val="center"/>
              <w:rPr>
                <w:sz w:val="18"/>
                <w:szCs w:val="21"/>
              </w:rPr>
            </w:pPr>
          </w:p>
        </w:tc>
        <w:tc>
          <w:tcPr>
            <w:tcW w:w="1041" w:type="dxa"/>
            <w:tcBorders>
              <w:top w:val="single" w:color="auto" w:sz="4" w:space="0"/>
            </w:tcBorders>
            <w:shd w:val="clear" w:color="auto" w:fill="FFFFFF"/>
            <w:vAlign w:val="center"/>
          </w:tcPr>
          <w:p>
            <w:pPr>
              <w:jc w:val="center"/>
              <w:rPr>
                <w:sz w:val="18"/>
                <w:szCs w:val="21"/>
              </w:rPr>
            </w:pPr>
          </w:p>
        </w:tc>
        <w:tc>
          <w:tcPr>
            <w:tcW w:w="858" w:type="dxa"/>
            <w:tcBorders>
              <w:top w:val="single" w:color="auto" w:sz="4" w:space="0"/>
            </w:tcBorders>
            <w:shd w:val="clear" w:color="auto" w:fill="FFFFFF"/>
            <w:vAlign w:val="center"/>
          </w:tcPr>
          <w:p>
            <w:pPr>
              <w:jc w:val="center"/>
              <w:rPr>
                <w:sz w:val="18"/>
                <w:szCs w:val="21"/>
              </w:rPr>
            </w:pPr>
          </w:p>
        </w:tc>
        <w:tc>
          <w:tcPr>
            <w:tcW w:w="436" w:type="dxa"/>
            <w:tcBorders>
              <w:top w:val="single" w:color="auto" w:sz="4" w:space="0"/>
            </w:tcBorders>
            <w:shd w:val="clear" w:color="auto" w:fill="FFFFFF"/>
            <w:vAlign w:val="center"/>
          </w:tcPr>
          <w:p>
            <w:pPr>
              <w:jc w:val="center"/>
              <w:rPr>
                <w:sz w:val="18"/>
                <w:szCs w:val="21"/>
              </w:rPr>
            </w:pPr>
          </w:p>
        </w:tc>
        <w:tc>
          <w:tcPr>
            <w:tcW w:w="576" w:type="dxa"/>
            <w:tcBorders>
              <w:top w:val="single" w:color="auto" w:sz="4" w:space="0"/>
            </w:tcBorders>
            <w:shd w:val="clear" w:color="auto" w:fill="FFFFFF"/>
            <w:vAlign w:val="center"/>
          </w:tcPr>
          <w:p>
            <w:pPr>
              <w:jc w:val="center"/>
              <w:rPr>
                <w:sz w:val="18"/>
                <w:szCs w:val="21"/>
              </w:rPr>
            </w:pPr>
          </w:p>
        </w:tc>
        <w:tc>
          <w:tcPr>
            <w:tcW w:w="602" w:type="dxa"/>
            <w:tcBorders>
              <w:top w:val="single" w:color="auto" w:sz="4" w:space="0"/>
            </w:tcBorders>
            <w:shd w:val="clear" w:color="auto" w:fill="FFFFFF"/>
            <w:vAlign w:val="center"/>
          </w:tcPr>
          <w:p>
            <w:pPr>
              <w:jc w:val="center"/>
              <w:rPr>
                <w:sz w:val="18"/>
                <w:szCs w:val="21"/>
              </w:rPr>
            </w:pPr>
          </w:p>
        </w:tc>
        <w:tc>
          <w:tcPr>
            <w:tcW w:w="610" w:type="dxa"/>
            <w:tcBorders>
              <w:top w:val="single" w:color="auto" w:sz="4" w:space="0"/>
            </w:tcBorders>
            <w:shd w:val="clear" w:color="auto" w:fill="FFFFFF"/>
            <w:vAlign w:val="center"/>
          </w:tcPr>
          <w:p>
            <w:pPr>
              <w:jc w:val="center"/>
              <w:rPr>
                <w:sz w:val="18"/>
                <w:szCs w:val="21"/>
              </w:rPr>
            </w:pPr>
          </w:p>
        </w:tc>
        <w:tc>
          <w:tcPr>
            <w:tcW w:w="610" w:type="dxa"/>
            <w:tcBorders>
              <w:top w:val="single" w:color="auto" w:sz="4" w:space="0"/>
            </w:tcBorders>
            <w:shd w:val="clear" w:color="auto" w:fill="FFFFFF"/>
            <w:vAlign w:val="center"/>
          </w:tcPr>
          <w:p>
            <w:pPr>
              <w:jc w:val="center"/>
              <w:rPr>
                <w:sz w:val="18"/>
                <w:szCs w:val="21"/>
              </w:rPr>
            </w:pPr>
          </w:p>
        </w:tc>
        <w:tc>
          <w:tcPr>
            <w:tcW w:w="434" w:type="dxa"/>
            <w:tcBorders>
              <w:top w:val="single" w:color="auto" w:sz="4" w:space="0"/>
            </w:tcBorders>
            <w:shd w:val="clear" w:color="auto" w:fill="FFFFFF"/>
            <w:vAlign w:val="center"/>
          </w:tcPr>
          <w:p>
            <w:pPr>
              <w:jc w:val="center"/>
              <w:rPr>
                <w:sz w:val="18"/>
                <w:szCs w:val="21"/>
              </w:rPr>
            </w:pPr>
          </w:p>
        </w:tc>
        <w:tc>
          <w:tcPr>
            <w:tcW w:w="608" w:type="dxa"/>
            <w:tcBorders>
              <w:top w:val="single" w:color="auto" w:sz="4" w:space="0"/>
              <w:right w:val="single" w:color="auto" w:sz="4" w:space="0"/>
            </w:tcBorders>
            <w:shd w:val="clear" w:color="auto" w:fill="FFFFFF"/>
            <w:vAlign w:val="center"/>
          </w:tcPr>
          <w:p>
            <w:pPr>
              <w:jc w:val="center"/>
              <w:rPr>
                <w:sz w:val="18"/>
                <w:szCs w:val="21"/>
              </w:rPr>
            </w:pPr>
          </w:p>
        </w:tc>
      </w:tr>
      <w:tr>
        <w:tblPrEx>
          <w:tblLayout w:type="fixed"/>
          <w:tblCellMar>
            <w:top w:w="0" w:type="dxa"/>
            <w:left w:w="57" w:type="dxa"/>
            <w:bottom w:w="0" w:type="dxa"/>
            <w:right w:w="57" w:type="dxa"/>
          </w:tblCellMar>
        </w:tblPrEx>
        <w:tc>
          <w:tcPr>
            <w:tcW w:w="4734" w:type="dxa"/>
            <w:gridSpan w:val="4"/>
            <w:tcBorders>
              <w:left w:val="single" w:color="auto" w:sz="4" w:space="0"/>
            </w:tcBorders>
            <w:shd w:val="clear" w:color="auto" w:fill="FFFFFF"/>
            <w:vAlign w:val="center"/>
          </w:tcPr>
          <w:p>
            <w:pPr>
              <w:rPr>
                <w:sz w:val="18"/>
                <w:szCs w:val="21"/>
              </w:rPr>
            </w:pPr>
            <w:r>
              <w:rPr>
                <w:sz w:val="18"/>
                <w:szCs w:val="21"/>
              </w:rPr>
              <w:t>m：测试性能的一般平均值，单位为mg/kg</w:t>
            </w:r>
          </w:p>
        </w:tc>
        <w:tc>
          <w:tcPr>
            <w:tcW w:w="4734" w:type="dxa"/>
            <w:gridSpan w:val="8"/>
            <w:tcBorders>
              <w:right w:val="single" w:color="auto" w:sz="4" w:space="0"/>
            </w:tcBorders>
            <w:shd w:val="clear" w:color="auto" w:fill="FFFFFF"/>
            <w:vAlign w:val="center"/>
          </w:tcPr>
          <w:p>
            <w:pPr>
              <w:rPr>
                <w:rFonts w:hint="eastAsia" w:eastAsia="宋体"/>
                <w:sz w:val="18"/>
                <w:szCs w:val="21"/>
                <w:lang w:val="en-US" w:eastAsia="zh-CN"/>
              </w:rPr>
            </w:pPr>
            <w:r>
              <w:rPr>
                <w:sz w:val="18"/>
                <w:szCs w:val="21"/>
              </w:rPr>
              <w:t>r：重复性</w:t>
            </w:r>
            <w:r>
              <w:rPr>
                <w:rFonts w:hint="eastAsia"/>
                <w:sz w:val="18"/>
                <w:szCs w:val="21"/>
                <w:lang w:val="en-US" w:eastAsia="zh-CN"/>
              </w:rPr>
              <w:t>限</w:t>
            </w:r>
          </w:p>
        </w:tc>
      </w:tr>
      <w:tr>
        <w:tblPrEx>
          <w:tblLayout w:type="fixed"/>
          <w:tblCellMar>
            <w:top w:w="0" w:type="dxa"/>
            <w:left w:w="57" w:type="dxa"/>
            <w:bottom w:w="0" w:type="dxa"/>
            <w:right w:w="57" w:type="dxa"/>
          </w:tblCellMar>
        </w:tblPrEx>
        <w:tc>
          <w:tcPr>
            <w:tcW w:w="4734" w:type="dxa"/>
            <w:gridSpan w:val="4"/>
            <w:tcBorders>
              <w:left w:val="single" w:color="auto" w:sz="4" w:space="0"/>
            </w:tcBorders>
            <w:shd w:val="clear" w:color="auto" w:fill="FFFFFF"/>
            <w:vAlign w:val="center"/>
          </w:tcPr>
          <w:p>
            <w:pPr>
              <w:rPr>
                <w:sz w:val="18"/>
                <w:szCs w:val="21"/>
              </w:rPr>
            </w:pPr>
            <w:r>
              <w:rPr>
                <w:sz w:val="18"/>
                <w:szCs w:val="21"/>
              </w:rPr>
              <w:t>v：预期值，单位为mg/kg</w:t>
            </w:r>
          </w:p>
        </w:tc>
        <w:tc>
          <w:tcPr>
            <w:tcW w:w="4734" w:type="dxa"/>
            <w:gridSpan w:val="8"/>
            <w:tcBorders>
              <w:right w:val="single" w:color="auto" w:sz="4" w:space="0"/>
            </w:tcBorders>
            <w:shd w:val="clear" w:color="auto" w:fill="FFFFFF"/>
            <w:vAlign w:val="center"/>
          </w:tcPr>
          <w:p>
            <w:pPr>
              <w:rPr>
                <w:sz w:val="18"/>
                <w:szCs w:val="21"/>
              </w:rPr>
            </w:pPr>
            <w:r>
              <w:rPr>
                <w:sz w:val="18"/>
                <w:szCs w:val="21"/>
              </w:rPr>
              <w:t>s(R)：再现性标准偏差</w:t>
            </w:r>
          </w:p>
        </w:tc>
      </w:tr>
      <w:tr>
        <w:tblPrEx>
          <w:tblLayout w:type="fixed"/>
          <w:tblCellMar>
            <w:top w:w="0" w:type="dxa"/>
            <w:left w:w="57" w:type="dxa"/>
            <w:bottom w:w="0" w:type="dxa"/>
            <w:right w:w="57" w:type="dxa"/>
          </w:tblCellMar>
        </w:tblPrEx>
        <w:tc>
          <w:tcPr>
            <w:tcW w:w="4734" w:type="dxa"/>
            <w:gridSpan w:val="4"/>
            <w:tcBorders>
              <w:left w:val="single" w:color="auto" w:sz="4" w:space="0"/>
            </w:tcBorders>
            <w:shd w:val="clear" w:color="auto" w:fill="FFFFFF"/>
            <w:vAlign w:val="center"/>
          </w:tcPr>
          <w:p>
            <w:pPr>
              <w:rPr>
                <w:sz w:val="18"/>
                <w:szCs w:val="21"/>
              </w:rPr>
            </w:pPr>
            <w:r>
              <w:rPr>
                <w:sz w:val="18"/>
                <w:szCs w:val="21"/>
              </w:rPr>
              <w:t>N：计算所用的检测结果数量</w:t>
            </w:r>
          </w:p>
        </w:tc>
        <w:tc>
          <w:tcPr>
            <w:tcW w:w="4734" w:type="dxa"/>
            <w:gridSpan w:val="8"/>
            <w:tcBorders>
              <w:right w:val="single" w:color="auto" w:sz="4" w:space="0"/>
            </w:tcBorders>
            <w:shd w:val="clear" w:color="auto" w:fill="FFFFFF"/>
            <w:vAlign w:val="center"/>
          </w:tcPr>
          <w:p>
            <w:pPr>
              <w:rPr>
                <w:rFonts w:hint="eastAsia" w:eastAsia="宋体"/>
                <w:sz w:val="18"/>
                <w:szCs w:val="21"/>
                <w:lang w:val="en-US" w:eastAsia="zh-CN"/>
              </w:rPr>
            </w:pPr>
            <w:r>
              <w:rPr>
                <w:sz w:val="18"/>
                <w:szCs w:val="21"/>
              </w:rPr>
              <w:t>R：再现性</w:t>
            </w:r>
            <w:r>
              <w:rPr>
                <w:rFonts w:hint="eastAsia"/>
                <w:sz w:val="18"/>
                <w:szCs w:val="21"/>
                <w:lang w:val="en-US" w:eastAsia="zh-CN"/>
              </w:rPr>
              <w:t>限</w:t>
            </w:r>
          </w:p>
        </w:tc>
      </w:tr>
      <w:tr>
        <w:tblPrEx>
          <w:tblLayout w:type="fixed"/>
          <w:tblCellMar>
            <w:top w:w="0" w:type="dxa"/>
            <w:left w:w="57" w:type="dxa"/>
            <w:bottom w:w="0" w:type="dxa"/>
            <w:right w:w="57" w:type="dxa"/>
          </w:tblCellMar>
        </w:tblPrEx>
        <w:tc>
          <w:tcPr>
            <w:tcW w:w="4734" w:type="dxa"/>
            <w:gridSpan w:val="4"/>
            <w:tcBorders>
              <w:left w:val="single" w:color="auto" w:sz="4" w:space="0"/>
              <w:bottom w:val="single" w:color="auto" w:sz="4" w:space="0"/>
            </w:tcBorders>
            <w:shd w:val="clear" w:color="auto" w:fill="FFFFFF"/>
            <w:vAlign w:val="center"/>
          </w:tcPr>
          <w:p>
            <w:pPr>
              <w:rPr>
                <w:sz w:val="18"/>
                <w:szCs w:val="21"/>
              </w:rPr>
            </w:pPr>
            <w:r>
              <w:rPr>
                <w:sz w:val="18"/>
                <w:szCs w:val="21"/>
              </w:rPr>
              <w:t>s（r）：重复性标准偏差</w:t>
            </w:r>
          </w:p>
        </w:tc>
        <w:tc>
          <w:tcPr>
            <w:tcW w:w="4734" w:type="dxa"/>
            <w:gridSpan w:val="8"/>
            <w:tcBorders>
              <w:bottom w:val="single" w:color="auto" w:sz="4" w:space="0"/>
              <w:right w:val="single" w:color="auto" w:sz="4" w:space="0"/>
            </w:tcBorders>
            <w:shd w:val="clear" w:color="auto" w:fill="FFFFFF"/>
            <w:vAlign w:val="center"/>
          </w:tcPr>
          <w:p>
            <w:pPr>
              <w:rPr>
                <w:sz w:val="18"/>
                <w:szCs w:val="21"/>
              </w:rPr>
            </w:pPr>
            <w:r>
              <w:rPr>
                <w:sz w:val="18"/>
                <w:szCs w:val="21"/>
              </w:rPr>
              <w:t>p：计算所用的实验室数量</w:t>
            </w:r>
          </w:p>
        </w:tc>
      </w:tr>
    </w:tbl>
    <w:p>
      <w:pPr>
        <w:rPr>
          <w:szCs w:val="21"/>
        </w:rPr>
      </w:pPr>
      <w:r>
        <w:rPr>
          <w:szCs w:val="21"/>
        </w:rPr>
        <w:br w:type="page"/>
      </w:r>
    </w:p>
    <w:p>
      <w:pPr>
        <w:keepNext/>
        <w:widowControl/>
        <w:shd w:val="clear" w:color="FFFFFF" w:fill="FFFFFF"/>
        <w:tabs>
          <w:tab w:val="left" w:pos="6405"/>
        </w:tabs>
        <w:spacing w:before="640" w:after="280"/>
        <w:jc w:val="center"/>
        <w:outlineLvl w:val="0"/>
        <w:rPr>
          <w:rFonts w:eastAsia="黑体"/>
          <w:kern w:val="0"/>
          <w:szCs w:val="20"/>
        </w:rPr>
      </w:pPr>
      <w:bookmarkStart w:id="45" w:name="_Toc17315"/>
      <w:bookmarkStart w:id="46" w:name="_Toc32198"/>
      <w:r>
        <w:rPr>
          <w:rFonts w:eastAsia="黑体"/>
          <w:kern w:val="0"/>
          <w:szCs w:val="20"/>
        </w:rPr>
        <w:t>附录C</w:t>
      </w:r>
      <w:r>
        <w:rPr>
          <w:rFonts w:hint="eastAsia" w:eastAsia="黑体"/>
          <w:kern w:val="0"/>
          <w:szCs w:val="20"/>
        </w:rPr>
        <w:br w:type="textWrapping"/>
      </w:r>
      <w:r>
        <w:rPr>
          <w:rFonts w:eastAsia="黑体"/>
          <w:kern w:val="0"/>
          <w:szCs w:val="20"/>
        </w:rPr>
        <w:t>（资料性）</w:t>
      </w:r>
      <w:r>
        <w:rPr>
          <w:rFonts w:hint="eastAsia" w:eastAsia="黑体"/>
          <w:kern w:val="0"/>
          <w:szCs w:val="20"/>
        </w:rPr>
        <w:br w:type="textWrapping"/>
      </w:r>
      <w:r>
        <w:rPr>
          <w:rFonts w:hint="eastAsia" w:eastAsia="黑体"/>
          <w:kern w:val="0"/>
          <w:szCs w:val="20"/>
          <w:lang w:eastAsia="zh-CN"/>
        </w:rPr>
        <w:t>PAHs</w:t>
      </w:r>
      <w:r>
        <w:rPr>
          <w:rFonts w:eastAsia="黑体"/>
          <w:kern w:val="0"/>
          <w:szCs w:val="20"/>
        </w:rPr>
        <w:t>测试的实验室器具清洁程序</w:t>
      </w:r>
      <w:bookmarkEnd w:id="45"/>
      <w:bookmarkEnd w:id="46"/>
    </w:p>
    <w:p>
      <w:pPr>
        <w:pStyle w:val="47"/>
      </w:pPr>
      <w:r>
        <w:t xml:space="preserve">C.1 </w:t>
      </w:r>
      <w:r>
        <w:rPr>
          <w:rFonts w:hint="eastAsia"/>
          <w:lang w:val="en-US" w:eastAsia="zh-CN"/>
        </w:rPr>
        <w:t>高温烘烤清洁</w:t>
      </w:r>
      <w:r>
        <w:t>（仅限非</w:t>
      </w:r>
      <w:r>
        <w:rPr>
          <w:rFonts w:hint="eastAsia"/>
          <w:lang w:val="en-US" w:eastAsia="zh-CN"/>
        </w:rPr>
        <w:t>容积校准</w:t>
      </w:r>
      <w:r>
        <w:t>玻璃器皿）</w:t>
      </w:r>
    </w:p>
    <w:p>
      <w:pPr>
        <w:ind w:left="851" w:leftChars="200" w:hanging="431"/>
        <w:rPr>
          <w:szCs w:val="21"/>
        </w:rPr>
      </w:pPr>
      <w:r>
        <w:rPr>
          <w:szCs w:val="21"/>
        </w:rPr>
        <w:t>a）</w:t>
      </w:r>
      <w:r>
        <w:rPr>
          <w:rFonts w:hint="eastAsia"/>
          <w:szCs w:val="21"/>
        </w:rPr>
        <w:tab/>
      </w:r>
      <w:r>
        <w:rPr>
          <w:szCs w:val="21"/>
        </w:rPr>
        <w:t>在开始清洁程序之前，</w:t>
      </w:r>
      <w:r>
        <w:rPr>
          <w:rFonts w:hint="eastAsia"/>
          <w:szCs w:val="21"/>
          <w:lang w:val="en-US" w:eastAsia="zh-CN"/>
        </w:rPr>
        <w:t>先使用</w:t>
      </w:r>
      <w:r>
        <w:rPr>
          <w:szCs w:val="21"/>
        </w:rPr>
        <w:t>机械方式从玻璃器皿上清除明显的松散污物，例如用水刷洗或摇晃（如有必要，可用滤纸片）。如果玻璃器皿</w:t>
      </w:r>
      <w:r>
        <w:rPr>
          <w:rFonts w:hint="eastAsia"/>
          <w:szCs w:val="21"/>
          <w:lang w:val="en-US" w:eastAsia="zh-CN"/>
        </w:rPr>
        <w:t>有</w:t>
      </w:r>
      <w:r>
        <w:rPr>
          <w:szCs w:val="21"/>
        </w:rPr>
        <w:t>刺鼻或难闻的的溶剂气味，</w:t>
      </w:r>
      <w:r>
        <w:rPr>
          <w:rFonts w:hint="eastAsia"/>
          <w:szCs w:val="21"/>
          <w:lang w:val="en-US" w:eastAsia="zh-CN"/>
        </w:rPr>
        <w:t>宜</w:t>
      </w:r>
      <w:r>
        <w:rPr>
          <w:szCs w:val="21"/>
        </w:rPr>
        <w:t>将玻璃器皿放入通风橱中，直到所有气味消失。</w:t>
      </w:r>
    </w:p>
    <w:p>
      <w:pPr>
        <w:ind w:left="851" w:leftChars="200" w:hanging="431"/>
        <w:rPr>
          <w:szCs w:val="21"/>
        </w:rPr>
      </w:pPr>
      <w:r>
        <w:rPr>
          <w:szCs w:val="21"/>
        </w:rPr>
        <w:t>b）</w:t>
      </w:r>
      <w:r>
        <w:rPr>
          <w:rFonts w:hint="eastAsia"/>
          <w:szCs w:val="21"/>
        </w:rPr>
        <w:tab/>
      </w:r>
      <w:r>
        <w:rPr>
          <w:szCs w:val="21"/>
        </w:rPr>
        <w:t>将玻璃器皿完全浸入无皂清洁剂的水溶液中（玻璃器皿的内部区域应几乎充满无皂清洁剂的水溶液）至少4小时以使颗粒</w:t>
      </w:r>
      <w:r>
        <w:rPr>
          <w:rFonts w:hint="eastAsia"/>
          <w:szCs w:val="21"/>
          <w:lang w:val="en-US" w:eastAsia="zh-CN"/>
        </w:rPr>
        <w:t>污</w:t>
      </w:r>
      <w:r>
        <w:rPr>
          <w:szCs w:val="21"/>
        </w:rPr>
        <w:t>物松脱。</w:t>
      </w:r>
    </w:p>
    <w:p>
      <w:pPr>
        <w:ind w:left="851" w:leftChars="200" w:hanging="431"/>
        <w:rPr>
          <w:szCs w:val="21"/>
        </w:rPr>
      </w:pPr>
      <w:r>
        <w:rPr>
          <w:szCs w:val="21"/>
        </w:rPr>
        <w:t>c）</w:t>
      </w:r>
      <w:r>
        <w:rPr>
          <w:rFonts w:hint="eastAsia"/>
          <w:szCs w:val="21"/>
        </w:rPr>
        <w:tab/>
      </w:r>
      <w:r>
        <w:rPr>
          <w:szCs w:val="21"/>
        </w:rPr>
        <w:t>用刷子轻轻擦洗玻璃器皿，并加入溶液剧烈摇晃。</w:t>
      </w:r>
    </w:p>
    <w:p>
      <w:pPr>
        <w:ind w:left="851" w:leftChars="200" w:hanging="431"/>
        <w:rPr>
          <w:szCs w:val="21"/>
        </w:rPr>
      </w:pPr>
      <w:r>
        <w:rPr>
          <w:szCs w:val="21"/>
        </w:rPr>
        <w:t>d）</w:t>
      </w:r>
      <w:r>
        <w:rPr>
          <w:rFonts w:hint="eastAsia"/>
          <w:szCs w:val="21"/>
        </w:rPr>
        <w:tab/>
      </w:r>
      <w:r>
        <w:rPr>
          <w:szCs w:val="21"/>
        </w:rPr>
        <w:t>用大量自来水冲洗玻璃器皿以去除所有残留的清洁剂，然后用丙酮冲洗。</w:t>
      </w:r>
    </w:p>
    <w:p>
      <w:pPr>
        <w:ind w:left="851" w:leftChars="200" w:hanging="431"/>
        <w:rPr>
          <w:szCs w:val="21"/>
        </w:rPr>
      </w:pPr>
      <w:r>
        <w:rPr>
          <w:szCs w:val="21"/>
        </w:rPr>
        <w:t>e）</w:t>
      </w:r>
      <w:r>
        <w:rPr>
          <w:rFonts w:hint="eastAsia"/>
          <w:szCs w:val="21"/>
        </w:rPr>
        <w:tab/>
      </w:r>
      <w:r>
        <w:rPr>
          <w:szCs w:val="21"/>
        </w:rPr>
        <w:t>将非</w:t>
      </w:r>
      <w:r>
        <w:rPr>
          <w:rFonts w:hint="eastAsia"/>
          <w:szCs w:val="21"/>
          <w:lang w:val="en-US" w:eastAsia="zh-CN"/>
        </w:rPr>
        <w:t>容积校准</w:t>
      </w:r>
      <w:r>
        <w:rPr>
          <w:szCs w:val="21"/>
        </w:rPr>
        <w:t>玻璃器皿（如烧杯、圆底/平底烧瓶、小瓶）有序放入</w:t>
      </w:r>
      <w:r>
        <w:rPr>
          <w:rFonts w:hint="eastAsia"/>
          <w:szCs w:val="21"/>
          <w:lang w:val="en-US" w:eastAsia="zh-CN"/>
        </w:rPr>
        <w:t>马弗炉</w:t>
      </w:r>
      <w:r>
        <w:rPr>
          <w:szCs w:val="21"/>
        </w:rPr>
        <w:t>中，在400℃</w:t>
      </w:r>
      <w:r>
        <w:rPr>
          <w:rFonts w:hint="eastAsia"/>
          <w:szCs w:val="21"/>
          <w:lang w:val="en-US" w:eastAsia="zh-CN"/>
        </w:rPr>
        <w:t>-</w:t>
      </w:r>
      <w:r>
        <w:rPr>
          <w:szCs w:val="21"/>
        </w:rPr>
        <w:t>500 ℃下</w:t>
      </w:r>
      <w:r>
        <w:rPr>
          <w:rFonts w:hint="eastAsia"/>
          <w:szCs w:val="21"/>
          <w:lang w:val="en-US" w:eastAsia="zh-CN"/>
        </w:rPr>
        <w:t>烘烤</w:t>
      </w:r>
      <w:r>
        <w:rPr>
          <w:szCs w:val="21"/>
        </w:rPr>
        <w:t>4 h或一夜。（切勿将</w:t>
      </w:r>
      <w:r>
        <w:rPr>
          <w:rFonts w:hint="eastAsia"/>
          <w:szCs w:val="21"/>
          <w:lang w:val="en-US" w:eastAsia="zh-CN"/>
        </w:rPr>
        <w:t>容积校准</w:t>
      </w:r>
      <w:r>
        <w:rPr>
          <w:szCs w:val="21"/>
        </w:rPr>
        <w:t>玻璃器皿</w:t>
      </w:r>
      <w:r>
        <w:rPr>
          <w:rFonts w:hint="eastAsia"/>
          <w:szCs w:val="21"/>
          <w:lang w:val="en-US" w:eastAsia="zh-CN"/>
        </w:rPr>
        <w:t>进行高温烘烤</w:t>
      </w:r>
      <w:r>
        <w:rPr>
          <w:szCs w:val="21"/>
        </w:rPr>
        <w:t>）。</w:t>
      </w:r>
    </w:p>
    <w:p>
      <w:pPr>
        <w:ind w:left="851" w:leftChars="200" w:hanging="431"/>
        <w:rPr>
          <w:szCs w:val="21"/>
        </w:rPr>
      </w:pPr>
      <w:r>
        <w:rPr>
          <w:szCs w:val="21"/>
        </w:rPr>
        <w:t>f）</w:t>
      </w:r>
      <w:r>
        <w:rPr>
          <w:rFonts w:hint="eastAsia"/>
          <w:szCs w:val="21"/>
        </w:rPr>
        <w:tab/>
      </w:r>
      <w:r>
        <w:rPr>
          <w:rFonts w:hint="eastAsia"/>
          <w:szCs w:val="21"/>
          <w:lang w:val="en-US" w:eastAsia="zh-CN"/>
        </w:rPr>
        <w:t>烘烤后</w:t>
      </w:r>
      <w:r>
        <w:rPr>
          <w:szCs w:val="21"/>
        </w:rPr>
        <w:t>冷却到室温。</w:t>
      </w:r>
    </w:p>
    <w:p>
      <w:pPr>
        <w:ind w:left="851" w:leftChars="200" w:hanging="431"/>
        <w:rPr>
          <w:szCs w:val="21"/>
        </w:rPr>
      </w:pPr>
      <w:r>
        <w:rPr>
          <w:rFonts w:hint="eastAsia"/>
          <w:szCs w:val="21"/>
          <w:lang w:val="en-US" w:eastAsia="zh-CN"/>
        </w:rPr>
        <w:t xml:space="preserve">    </w:t>
      </w:r>
      <w:r>
        <w:rPr>
          <w:rFonts w:hint="eastAsia" w:ascii="黑体" w:hAnsi="黑体" w:eastAsia="黑体" w:cs="黑体"/>
          <w:sz w:val="18"/>
          <w:szCs w:val="18"/>
        </w:rPr>
        <w:t>警告：</w:t>
      </w:r>
      <w:r>
        <w:rPr>
          <w:rFonts w:hint="eastAsia" w:asciiTheme="minorEastAsia" w:hAnsiTheme="minorEastAsia" w:eastAsiaTheme="minorEastAsia" w:cstheme="minorEastAsia"/>
          <w:sz w:val="18"/>
          <w:szCs w:val="18"/>
        </w:rPr>
        <w:t>不要立即打开炉子，否则可能会烫伤自己。</w:t>
      </w:r>
    </w:p>
    <w:p>
      <w:pPr>
        <w:ind w:left="851" w:leftChars="200" w:hanging="431"/>
        <w:rPr>
          <w:szCs w:val="21"/>
        </w:rPr>
      </w:pPr>
      <w:r>
        <w:rPr>
          <w:szCs w:val="21"/>
        </w:rPr>
        <w:t>g）</w:t>
      </w:r>
      <w:r>
        <w:rPr>
          <w:rFonts w:hint="eastAsia"/>
          <w:szCs w:val="21"/>
        </w:rPr>
        <w:tab/>
      </w:r>
      <w:r>
        <w:rPr>
          <w:szCs w:val="21"/>
        </w:rPr>
        <w:t>取出玻璃器皿并存放在干净、坚固柜子中</w:t>
      </w:r>
      <w:r>
        <w:rPr>
          <w:rFonts w:hint="eastAsia"/>
          <w:szCs w:val="21"/>
          <w:lang w:eastAsia="zh-CN"/>
        </w:rPr>
        <w:t>，</w:t>
      </w:r>
      <w:r>
        <w:rPr>
          <w:rFonts w:hint="eastAsia"/>
          <w:szCs w:val="21"/>
          <w:lang w:val="en-US" w:eastAsia="zh-CN"/>
        </w:rPr>
        <w:t>并做好标记</w:t>
      </w:r>
      <w:r>
        <w:rPr>
          <w:szCs w:val="21"/>
        </w:rPr>
        <w:t>，</w:t>
      </w:r>
      <w:r>
        <w:rPr>
          <w:rFonts w:hint="eastAsia"/>
          <w:szCs w:val="21"/>
          <w:lang w:val="en-US" w:eastAsia="zh-CN"/>
        </w:rPr>
        <w:t>同时</w:t>
      </w:r>
      <w:r>
        <w:rPr>
          <w:szCs w:val="21"/>
        </w:rPr>
        <w:t>尽量减少不必要的接触。</w:t>
      </w:r>
    </w:p>
    <w:p>
      <w:pPr>
        <w:ind w:left="851" w:leftChars="200" w:hanging="431"/>
        <w:rPr>
          <w:szCs w:val="21"/>
        </w:rPr>
      </w:pPr>
      <w:r>
        <w:rPr>
          <w:szCs w:val="21"/>
        </w:rPr>
        <w:t>h）</w:t>
      </w:r>
      <w:r>
        <w:rPr>
          <w:rFonts w:hint="eastAsia"/>
          <w:szCs w:val="21"/>
        </w:rPr>
        <w:tab/>
      </w:r>
      <w:r>
        <w:rPr>
          <w:rFonts w:hint="eastAsia"/>
          <w:szCs w:val="21"/>
          <w:lang w:val="en-US" w:eastAsia="zh-CN"/>
        </w:rPr>
        <w:t>也可使用自动化清洗机以</w:t>
      </w:r>
      <w:r>
        <w:rPr>
          <w:szCs w:val="21"/>
        </w:rPr>
        <w:t>适当程序</w:t>
      </w:r>
      <w:r>
        <w:rPr>
          <w:rFonts w:hint="eastAsia"/>
          <w:szCs w:val="21"/>
          <w:lang w:val="en-US" w:eastAsia="zh-CN"/>
        </w:rPr>
        <w:t>进行清洗</w:t>
      </w:r>
      <w:r>
        <w:rPr>
          <w:szCs w:val="21"/>
        </w:rPr>
        <w:t>。如果</w:t>
      </w:r>
      <w:r>
        <w:rPr>
          <w:rFonts w:hint="eastAsia"/>
          <w:szCs w:val="21"/>
          <w:lang w:val="en-US" w:eastAsia="zh-CN"/>
        </w:rPr>
        <w:t>清洗后</w:t>
      </w:r>
      <w:r>
        <w:rPr>
          <w:szCs w:val="21"/>
        </w:rPr>
        <w:t>玻璃器皿</w:t>
      </w:r>
      <w:r>
        <w:rPr>
          <w:rFonts w:hint="eastAsia"/>
          <w:szCs w:val="21"/>
          <w:lang w:val="en-US" w:eastAsia="zh-CN"/>
        </w:rPr>
        <w:t>内外</w:t>
      </w:r>
      <w:r>
        <w:rPr>
          <w:szCs w:val="21"/>
        </w:rPr>
        <w:t>表面仍有残留</w:t>
      </w:r>
      <w:r>
        <w:rPr>
          <w:rFonts w:hint="eastAsia"/>
          <w:szCs w:val="21"/>
          <w:lang w:val="en-US" w:eastAsia="zh-CN"/>
        </w:rPr>
        <w:t>污</w:t>
      </w:r>
      <w:r>
        <w:rPr>
          <w:szCs w:val="21"/>
        </w:rPr>
        <w:t>物，请再次执行步骤e）至g）。</w:t>
      </w:r>
    </w:p>
    <w:p>
      <w:pPr>
        <w:pStyle w:val="47"/>
      </w:pPr>
      <w:r>
        <w:t xml:space="preserve">C.2 </w:t>
      </w:r>
      <w:r>
        <w:rPr>
          <w:rFonts w:hint="eastAsia"/>
          <w:lang w:val="en-US" w:eastAsia="zh-CN"/>
        </w:rPr>
        <w:t>酸浸泡清洁</w:t>
      </w:r>
      <w:r>
        <w:t>（玻璃器皿和塑料器皿）</w:t>
      </w:r>
    </w:p>
    <w:p>
      <w:pPr>
        <w:ind w:left="851" w:leftChars="200" w:hanging="431"/>
        <w:rPr>
          <w:szCs w:val="21"/>
        </w:rPr>
      </w:pPr>
      <w:r>
        <w:rPr>
          <w:szCs w:val="21"/>
        </w:rPr>
        <w:t>a）</w:t>
      </w:r>
      <w:r>
        <w:rPr>
          <w:rFonts w:hint="eastAsia"/>
          <w:szCs w:val="21"/>
        </w:rPr>
        <w:tab/>
      </w:r>
      <w:r>
        <w:rPr>
          <w:szCs w:val="21"/>
        </w:rPr>
        <w:t>在开始清洁程序之前，应以机械方式从玻璃器皿和塑料器皿上清除明显的松散污染物，例如用水刷洗或摇晃（如有必要，可用滤纸片）。如果离开实验室器具的溶剂散发出刺鼻或难闻的气味，请将玻璃器皿放入通风橱中，直到所有气味消失。</w:t>
      </w:r>
    </w:p>
    <w:p>
      <w:pPr>
        <w:ind w:left="851" w:leftChars="200" w:hanging="431"/>
        <w:rPr>
          <w:szCs w:val="21"/>
        </w:rPr>
      </w:pPr>
      <w:r>
        <w:rPr>
          <w:szCs w:val="21"/>
        </w:rPr>
        <w:t>b）</w:t>
      </w:r>
      <w:r>
        <w:rPr>
          <w:rFonts w:hint="eastAsia"/>
          <w:szCs w:val="21"/>
        </w:rPr>
        <w:tab/>
      </w:r>
      <w:r>
        <w:rPr>
          <w:szCs w:val="21"/>
        </w:rPr>
        <w:t>将实验室器具完全浸入无皂清洁剂的水溶液中（玻璃器皿的内部区域应几乎充满无皂清洁剂的水溶液）至少4小时以使颗粒物松脱。</w:t>
      </w:r>
    </w:p>
    <w:p>
      <w:pPr>
        <w:ind w:left="851" w:leftChars="200" w:hanging="431"/>
        <w:rPr>
          <w:szCs w:val="21"/>
        </w:rPr>
      </w:pPr>
      <w:r>
        <w:rPr>
          <w:szCs w:val="21"/>
        </w:rPr>
        <w:t>c）</w:t>
      </w:r>
      <w:r>
        <w:rPr>
          <w:rFonts w:hint="eastAsia"/>
          <w:szCs w:val="21"/>
        </w:rPr>
        <w:tab/>
      </w:r>
      <w:r>
        <w:rPr>
          <w:szCs w:val="21"/>
        </w:rPr>
        <w:t>用刷子轻轻擦洗实验室器具，并加入溶液剧烈摇晃。</w:t>
      </w:r>
    </w:p>
    <w:p>
      <w:pPr>
        <w:ind w:left="851" w:leftChars="200" w:hanging="431"/>
        <w:rPr>
          <w:szCs w:val="21"/>
        </w:rPr>
      </w:pPr>
      <w:r>
        <w:rPr>
          <w:szCs w:val="21"/>
        </w:rPr>
        <w:t>d）</w:t>
      </w:r>
      <w:r>
        <w:rPr>
          <w:rFonts w:hint="eastAsia"/>
          <w:szCs w:val="21"/>
        </w:rPr>
        <w:tab/>
      </w:r>
      <w:r>
        <w:rPr>
          <w:szCs w:val="21"/>
        </w:rPr>
        <w:t>用大量自来水冲洗实验室器具以去除所有残留的清洁剂，然后用丙酮冲洗。</w:t>
      </w:r>
    </w:p>
    <w:p>
      <w:pPr>
        <w:ind w:left="851" w:leftChars="200" w:hanging="431"/>
        <w:rPr>
          <w:szCs w:val="21"/>
        </w:rPr>
      </w:pPr>
      <w:r>
        <w:rPr>
          <w:szCs w:val="21"/>
        </w:rPr>
        <w:t>e）</w:t>
      </w:r>
      <w:r>
        <w:rPr>
          <w:rFonts w:hint="eastAsia"/>
          <w:szCs w:val="21"/>
        </w:rPr>
        <w:tab/>
      </w:r>
      <w:r>
        <w:rPr>
          <w:szCs w:val="21"/>
        </w:rPr>
        <w:t>将实验室器具完全浸入酸浴（5%硝酸）中至少8小时或一夜。</w:t>
      </w:r>
    </w:p>
    <w:p>
      <w:pPr>
        <w:ind w:left="851" w:leftChars="200" w:hanging="431"/>
        <w:rPr>
          <w:szCs w:val="21"/>
        </w:rPr>
      </w:pPr>
      <w:r>
        <w:rPr>
          <w:szCs w:val="21"/>
        </w:rPr>
        <w:t>f）</w:t>
      </w:r>
      <w:r>
        <w:rPr>
          <w:rFonts w:hint="eastAsia"/>
          <w:szCs w:val="21"/>
        </w:rPr>
        <w:tab/>
      </w:r>
      <w:r>
        <w:rPr>
          <w:szCs w:val="21"/>
        </w:rPr>
        <w:t>再次按步骤c）擦洗实验室器具并用水（5小时）和丙酮冲洗。</w:t>
      </w:r>
    </w:p>
    <w:p>
      <w:pPr>
        <w:ind w:left="851" w:leftChars="200" w:hanging="431"/>
        <w:rPr>
          <w:szCs w:val="21"/>
        </w:rPr>
      </w:pPr>
      <w:r>
        <w:rPr>
          <w:szCs w:val="21"/>
        </w:rPr>
        <w:t>g）</w:t>
      </w:r>
      <w:r>
        <w:rPr>
          <w:rFonts w:hint="eastAsia"/>
          <w:szCs w:val="21"/>
        </w:rPr>
        <w:tab/>
      </w:r>
      <w:r>
        <w:rPr>
          <w:szCs w:val="21"/>
        </w:rPr>
        <w:t>将玻璃器皿—除了容量玻璃器皿（例如量瓶、移液管、滴定管）放入干燥箱中直至全部干燥。（对于容量玻璃器皿，风干更为合适）。</w:t>
      </w:r>
    </w:p>
    <w:p>
      <w:pPr>
        <w:ind w:left="851" w:leftChars="200" w:hanging="431"/>
        <w:rPr>
          <w:szCs w:val="21"/>
        </w:rPr>
      </w:pPr>
      <w:r>
        <w:rPr>
          <w:szCs w:val="21"/>
        </w:rPr>
        <w:t>h）</w:t>
      </w:r>
      <w:r>
        <w:rPr>
          <w:rFonts w:hint="eastAsia"/>
          <w:szCs w:val="21"/>
        </w:rPr>
        <w:tab/>
      </w:r>
      <w:r>
        <w:rPr>
          <w:szCs w:val="21"/>
        </w:rPr>
        <w:t>将实验室器具存放在干净、坚固且标记良好的柜子或架子中，以尽量减少不必要的接触。</w:t>
      </w:r>
    </w:p>
    <w:p>
      <w:pPr>
        <w:ind w:left="851" w:leftChars="200" w:hanging="431"/>
        <w:rPr>
          <w:szCs w:val="21"/>
        </w:rPr>
      </w:pPr>
      <w:r>
        <w:rPr>
          <w:szCs w:val="21"/>
        </w:rPr>
        <w:t>i）</w:t>
      </w:r>
      <w:r>
        <w:rPr>
          <w:rFonts w:hint="eastAsia"/>
          <w:szCs w:val="21"/>
        </w:rPr>
        <w:tab/>
      </w:r>
      <w:r>
        <w:rPr>
          <w:szCs w:val="21"/>
        </w:rPr>
        <w:t>使用实验室玻璃器皿清洗机时，将玻璃器皿装入适当的嵌件中，然后将玻璃器皿放入清洗篮中。将清洗篮放入清洗机。使用适当的清洁程序去除清洗机中的有机残留物，从而达到清洁玻璃器皿的目的。如果玻璃器皿表面仍有残留物或其他东西，请再次执行步骤C.2 b）至C.2 e）。</w:t>
      </w:r>
    </w:p>
    <w:p>
      <w:pPr>
        <w:widowControl/>
        <w:jc w:val="left"/>
        <w:rPr>
          <w:szCs w:val="21"/>
        </w:rPr>
      </w:pPr>
      <w:r>
        <w:rPr>
          <w:szCs w:val="21"/>
        </w:rPr>
        <w:br w:type="page"/>
      </w:r>
    </w:p>
    <w:p>
      <w:pPr>
        <w:pStyle w:val="47"/>
        <w:rPr>
          <w:rFonts w:hint="eastAsia" w:eastAsia="黑体"/>
          <w:lang w:eastAsia="zh-CN"/>
        </w:rPr>
      </w:pPr>
      <w:r>
        <w:t>C.3 容量玻璃器皿内部区域清洁度的</w:t>
      </w:r>
      <w:r>
        <w:rPr>
          <w:rFonts w:hint="eastAsia"/>
          <w:lang w:val="en-US" w:eastAsia="zh-CN"/>
        </w:rPr>
        <w:t>评估</w:t>
      </w:r>
    </w:p>
    <w:p>
      <w:pPr>
        <w:ind w:firstLine="420" w:firstLineChars="200"/>
        <w:rPr>
          <w:szCs w:val="21"/>
          <w:highlight w:val="none"/>
        </w:rPr>
      </w:pPr>
      <w:r>
        <w:rPr>
          <w:rFonts w:hint="eastAsia"/>
          <w:szCs w:val="21"/>
        </w:rPr>
        <w:t>为了确认</w:t>
      </w:r>
      <w:r>
        <w:rPr>
          <w:rFonts w:hint="eastAsia"/>
          <w:szCs w:val="21"/>
          <w:lang w:val="en-US" w:eastAsia="zh-CN"/>
        </w:rPr>
        <w:t>清洗后的</w:t>
      </w:r>
      <w:r>
        <w:rPr>
          <w:rFonts w:hint="eastAsia"/>
          <w:szCs w:val="21"/>
        </w:rPr>
        <w:t>玻璃</w:t>
      </w:r>
      <w:r>
        <w:rPr>
          <w:rFonts w:hint="eastAsia"/>
          <w:szCs w:val="21"/>
          <w:lang w:val="en-US" w:eastAsia="zh-CN"/>
        </w:rPr>
        <w:t>器皿是否合格</w:t>
      </w:r>
      <w:r>
        <w:rPr>
          <w:rFonts w:hint="eastAsia"/>
          <w:szCs w:val="21"/>
        </w:rPr>
        <w:t xml:space="preserve">, </w:t>
      </w:r>
      <w:r>
        <w:rPr>
          <w:rFonts w:hint="eastAsia"/>
          <w:szCs w:val="21"/>
          <w:lang w:val="en-US" w:eastAsia="zh-CN"/>
        </w:rPr>
        <w:t>可</w:t>
      </w:r>
      <w:r>
        <w:rPr>
          <w:rFonts w:hint="eastAsia"/>
          <w:szCs w:val="21"/>
        </w:rPr>
        <w:t>观察其在添加或移除液体时的</w:t>
      </w:r>
      <w:r>
        <w:rPr>
          <w:rFonts w:hint="eastAsia"/>
          <w:szCs w:val="21"/>
          <w:lang w:val="en-US" w:eastAsia="zh-CN"/>
        </w:rPr>
        <w:t>表现</w:t>
      </w:r>
      <w:r>
        <w:rPr>
          <w:rFonts w:hint="eastAsia"/>
          <w:szCs w:val="21"/>
        </w:rPr>
        <w:t>。对于特定体积的刻度容器, 在低于最高体积标记刻度处缓慢加入液体至高于刻度线后停止。上升液面不应改变形状（例如，它的边缘应该是均匀的），同样，当液体溢出刻度线后再取出少量液体，弯液面不应改变形状。上面的玻璃表面应保持均匀湿润，弯液面在其边缘不变形，而是逐渐合并到容器的壁</w:t>
      </w:r>
      <w:r>
        <w:rPr>
          <w:rFonts w:hint="eastAsia"/>
          <w:szCs w:val="21"/>
          <w:highlight w:val="none"/>
        </w:rPr>
        <w:t>上。根据经验, 观察者能够根据与直径相关的弯月面形状，识别玻璃器皿内部是否有污染。</w:t>
      </w:r>
    </w:p>
    <w:p>
      <w:pPr>
        <w:rPr>
          <w:b/>
          <w:szCs w:val="21"/>
        </w:rPr>
      </w:pPr>
      <w:r>
        <w:rPr>
          <w:b/>
          <w:color w:val="000000"/>
          <w:szCs w:val="21"/>
          <w:lang w:bidi="en-US"/>
        </w:rPr>
        <w:br w:type="page"/>
      </w:r>
    </w:p>
    <w:p>
      <w:pPr>
        <w:pStyle w:val="76"/>
      </w:pPr>
      <w:bookmarkStart w:id="47" w:name="_Toc19227"/>
      <w:bookmarkStart w:id="48" w:name="_Toc18704"/>
      <w:r>
        <w:t>参考文献</w:t>
      </w:r>
      <w:bookmarkEnd w:id="47"/>
      <w:bookmarkEnd w:id="48"/>
    </w:p>
    <w:p>
      <w:pPr>
        <w:pStyle w:val="191"/>
        <w:shd w:val="clear" w:color="auto" w:fill="auto"/>
        <w:spacing w:line="240" w:lineRule="auto"/>
        <w:ind w:left="420" w:leftChars="200" w:firstLine="0" w:firstLineChars="0"/>
        <w:rPr>
          <w:rFonts w:hint="eastAsia" w:ascii="Times New Roman" w:hAnsi="Times New Roman" w:cs="Times New Roman"/>
          <w:i w:val="0"/>
          <w:iCs w:val="0"/>
          <w:color w:val="000000"/>
          <w:sz w:val="21"/>
        </w:rPr>
      </w:pPr>
      <w:r>
        <w:rPr>
          <w:rFonts w:ascii="Times New Roman" w:hAnsi="Times New Roman" w:cs="Times New Roman"/>
          <w:i w:val="0"/>
          <w:iCs w:val="0"/>
          <w:color w:val="000000"/>
          <w:sz w:val="21"/>
        </w:rPr>
        <w:t>[1]</w:t>
      </w:r>
      <w:r>
        <w:rPr>
          <w:rFonts w:ascii="Times New Roman" w:hAnsi="Times New Roman" w:cs="Times New Roman"/>
          <w:i w:val="0"/>
          <w:iCs w:val="0"/>
          <w:color w:val="000000"/>
          <w:sz w:val="21"/>
        </w:rPr>
        <w:tab/>
      </w:r>
      <w:r>
        <w:rPr>
          <w:rFonts w:ascii="Times New Roman" w:hAnsi="Times New Roman" w:cs="Times New Roman"/>
          <w:i w:val="0"/>
          <w:iCs w:val="0"/>
          <w:color w:val="000000"/>
          <w:sz w:val="21"/>
        </w:rPr>
        <w:t>ISO 13877，</w:t>
      </w:r>
      <w:r>
        <w:rPr>
          <w:rFonts w:hint="eastAsia" w:ascii="Times New Roman" w:hAnsi="Times New Roman" w:cs="Times New Roman"/>
          <w:i w:val="0"/>
          <w:iCs w:val="0"/>
          <w:color w:val="000000"/>
          <w:sz w:val="21"/>
        </w:rPr>
        <w:t xml:space="preserve">Soil quality - Determination of polynuclear aromatic hydrocarbons-Method using </w:t>
      </w:r>
    </w:p>
    <w:p>
      <w:pPr>
        <w:pStyle w:val="191"/>
        <w:shd w:val="clear" w:color="auto" w:fill="auto"/>
        <w:spacing w:line="240" w:lineRule="auto"/>
        <w:rPr>
          <w:rFonts w:hint="eastAsia" w:ascii="Times New Roman" w:hAnsi="Times New Roman" w:cs="Times New Roman"/>
          <w:i w:val="0"/>
          <w:iCs w:val="0"/>
          <w:color w:val="000000"/>
          <w:sz w:val="21"/>
        </w:rPr>
      </w:pPr>
      <w:r>
        <w:rPr>
          <w:rFonts w:hint="eastAsia" w:ascii="Times New Roman" w:hAnsi="Times New Roman" w:cs="Times New Roman"/>
          <w:i w:val="0"/>
          <w:iCs w:val="0"/>
          <w:color w:val="000000"/>
          <w:sz w:val="21"/>
        </w:rPr>
        <w:t>high-performance liquid chromatography</w:t>
      </w:r>
    </w:p>
    <w:p>
      <w:pPr>
        <w:pStyle w:val="191"/>
        <w:shd w:val="clear" w:color="auto" w:fill="auto"/>
        <w:spacing w:line="240" w:lineRule="auto"/>
        <w:ind w:left="420" w:leftChars="200" w:firstLine="0" w:firstLineChars="0"/>
        <w:rPr>
          <w:rFonts w:hint="eastAsia" w:ascii="Times New Roman" w:hAnsi="Times New Roman" w:cs="Times New Roman"/>
          <w:i w:val="0"/>
          <w:iCs w:val="0"/>
          <w:color w:val="000000"/>
          <w:sz w:val="21"/>
        </w:rPr>
      </w:pPr>
      <w:r>
        <w:rPr>
          <w:rFonts w:ascii="Times New Roman" w:hAnsi="Times New Roman" w:cs="Times New Roman"/>
          <w:i w:val="0"/>
          <w:iCs w:val="0"/>
          <w:color w:val="000000"/>
          <w:sz w:val="21"/>
        </w:rPr>
        <w:t>[2]</w:t>
      </w:r>
      <w:r>
        <w:rPr>
          <w:rFonts w:ascii="Times New Roman" w:hAnsi="Times New Roman" w:cs="Times New Roman"/>
          <w:i w:val="0"/>
          <w:iCs w:val="0"/>
          <w:color w:val="000000"/>
          <w:sz w:val="21"/>
        </w:rPr>
        <w:tab/>
      </w:r>
      <w:r>
        <w:rPr>
          <w:rFonts w:ascii="Times New Roman" w:hAnsi="Times New Roman" w:cs="Times New Roman"/>
          <w:i w:val="0"/>
          <w:iCs w:val="0"/>
          <w:color w:val="000000"/>
          <w:sz w:val="21"/>
        </w:rPr>
        <w:t>ISO 17993，</w:t>
      </w:r>
      <w:r>
        <w:rPr>
          <w:rFonts w:hint="eastAsia" w:ascii="Times New Roman" w:hAnsi="Times New Roman" w:cs="Times New Roman"/>
          <w:i w:val="0"/>
          <w:iCs w:val="0"/>
          <w:color w:val="000000"/>
          <w:sz w:val="21"/>
        </w:rPr>
        <w:t xml:space="preserve">Water quality - Determination of 15 polycyclic aromatic hydrocarbons (PAH) in water </w:t>
      </w:r>
    </w:p>
    <w:p>
      <w:pPr>
        <w:pStyle w:val="191"/>
        <w:shd w:val="clear" w:color="auto" w:fill="auto"/>
        <w:spacing w:line="240" w:lineRule="auto"/>
        <w:rPr>
          <w:rFonts w:ascii="Times New Roman" w:hAnsi="Times New Roman" w:cs="Times New Roman"/>
          <w:i w:val="0"/>
          <w:iCs w:val="0"/>
          <w:color w:val="000000"/>
          <w:sz w:val="21"/>
        </w:rPr>
      </w:pPr>
      <w:r>
        <w:rPr>
          <w:rFonts w:hint="eastAsia" w:ascii="Times New Roman" w:hAnsi="Times New Roman" w:cs="Times New Roman"/>
          <w:i w:val="0"/>
          <w:iCs w:val="0"/>
          <w:color w:val="000000"/>
          <w:sz w:val="21"/>
        </w:rPr>
        <w:t>by HPLC with fluorescence detection after liquid-liquid extraction</w:t>
      </w:r>
    </w:p>
    <w:p>
      <w:pPr>
        <w:pStyle w:val="191"/>
        <w:shd w:val="clear" w:color="auto" w:fill="auto"/>
        <w:spacing w:line="240" w:lineRule="auto"/>
        <w:ind w:left="420" w:leftChars="200" w:firstLine="0" w:firstLineChars="0"/>
        <w:rPr>
          <w:rFonts w:hint="eastAsia" w:ascii="Times New Roman" w:hAnsi="Times New Roman" w:cs="Times New Roman"/>
          <w:i w:val="0"/>
          <w:iCs w:val="0"/>
          <w:color w:val="000000"/>
          <w:sz w:val="21"/>
        </w:rPr>
      </w:pPr>
      <w:r>
        <w:rPr>
          <w:rFonts w:ascii="Times New Roman" w:hAnsi="Times New Roman" w:cs="Times New Roman"/>
          <w:i w:val="0"/>
          <w:iCs w:val="0"/>
          <w:color w:val="000000"/>
          <w:sz w:val="21"/>
        </w:rPr>
        <w:t>[3]</w:t>
      </w:r>
      <w:r>
        <w:rPr>
          <w:rFonts w:ascii="Times New Roman" w:hAnsi="Times New Roman" w:cs="Times New Roman"/>
          <w:i w:val="0"/>
          <w:iCs w:val="0"/>
          <w:color w:val="000000"/>
          <w:sz w:val="21"/>
        </w:rPr>
        <w:tab/>
      </w:r>
      <w:r>
        <w:rPr>
          <w:rFonts w:ascii="Times New Roman" w:hAnsi="Times New Roman" w:cs="Times New Roman"/>
          <w:i w:val="0"/>
          <w:iCs w:val="0"/>
          <w:color w:val="000000"/>
          <w:sz w:val="21"/>
        </w:rPr>
        <w:t>ISO 18287，</w:t>
      </w:r>
      <w:r>
        <w:rPr>
          <w:rFonts w:hint="eastAsia" w:ascii="Times New Roman" w:hAnsi="Times New Roman" w:cs="Times New Roman"/>
          <w:i w:val="0"/>
          <w:iCs w:val="0"/>
          <w:color w:val="000000"/>
          <w:sz w:val="21"/>
        </w:rPr>
        <w:t xml:space="preserve">Soil quality - Determination of polycyclic aromatic hydrocarbons (PAH)- Gas </w:t>
      </w:r>
    </w:p>
    <w:p>
      <w:pPr>
        <w:pStyle w:val="191"/>
        <w:shd w:val="clear" w:color="auto" w:fill="auto"/>
        <w:spacing w:line="240" w:lineRule="auto"/>
        <w:rPr>
          <w:rFonts w:ascii="Times New Roman" w:hAnsi="Times New Roman" w:cs="Times New Roman"/>
          <w:i w:val="0"/>
          <w:iCs w:val="0"/>
          <w:color w:val="000000"/>
          <w:sz w:val="21"/>
        </w:rPr>
      </w:pPr>
      <w:r>
        <w:rPr>
          <w:rFonts w:hint="eastAsia" w:ascii="Times New Roman" w:hAnsi="Times New Roman" w:cs="Times New Roman"/>
          <w:i w:val="0"/>
          <w:iCs w:val="0"/>
          <w:color w:val="000000"/>
          <w:sz w:val="21"/>
        </w:rPr>
        <w:t>chromatographic method with mass spectrometric detection (GC-MS)</w:t>
      </w:r>
    </w:p>
    <w:p>
      <w:pPr>
        <w:pStyle w:val="191"/>
        <w:shd w:val="clear" w:color="auto" w:fill="auto"/>
        <w:spacing w:line="240" w:lineRule="auto"/>
        <w:ind w:left="420" w:leftChars="200" w:firstLine="0" w:firstLineChars="0"/>
        <w:rPr>
          <w:rFonts w:hint="eastAsia" w:ascii="Times New Roman" w:hAnsi="Times New Roman" w:cs="Times New Roman"/>
          <w:i w:val="0"/>
          <w:iCs w:val="0"/>
          <w:color w:val="000000"/>
          <w:sz w:val="21"/>
        </w:rPr>
      </w:pPr>
      <w:r>
        <w:rPr>
          <w:rFonts w:ascii="Times New Roman" w:hAnsi="Times New Roman" w:cs="Times New Roman"/>
          <w:i w:val="0"/>
          <w:iCs w:val="0"/>
          <w:color w:val="000000"/>
          <w:sz w:val="21"/>
        </w:rPr>
        <w:t>[4]</w:t>
      </w:r>
      <w:r>
        <w:rPr>
          <w:rFonts w:ascii="Times New Roman" w:hAnsi="Times New Roman" w:cs="Times New Roman"/>
          <w:i w:val="0"/>
          <w:iCs w:val="0"/>
          <w:color w:val="000000"/>
          <w:sz w:val="21"/>
        </w:rPr>
        <w:tab/>
      </w:r>
      <w:r>
        <w:rPr>
          <w:rFonts w:hint="eastAsia" w:ascii="Times New Roman" w:hAnsi="Times New Roman" w:cs="Times New Roman"/>
          <w:i w:val="0"/>
          <w:iCs w:val="0"/>
          <w:color w:val="000000"/>
          <w:sz w:val="21"/>
        </w:rPr>
        <w:t>EPA Method 610</w:t>
      </w:r>
      <w:r>
        <w:rPr>
          <w:rFonts w:hint="eastAsia" w:ascii="Times New Roman" w:hAnsi="Times New Roman" w:cs="Times New Roman"/>
          <w:i w:val="0"/>
          <w:iCs w:val="0"/>
          <w:color w:val="000000"/>
          <w:sz w:val="21"/>
          <w:lang w:eastAsia="zh-CN"/>
        </w:rPr>
        <w:t>，</w:t>
      </w:r>
      <w:r>
        <w:rPr>
          <w:rFonts w:hint="eastAsia" w:ascii="Times New Roman" w:hAnsi="Times New Roman" w:cs="Times New Roman"/>
          <w:i w:val="0"/>
          <w:iCs w:val="0"/>
          <w:color w:val="000000"/>
          <w:sz w:val="21"/>
        </w:rPr>
        <w:t xml:space="preserve"> Methods for organic chemical analysis of municipal and industrial wastewater</w:t>
      </w:r>
    </w:p>
    <w:p>
      <w:pPr>
        <w:pStyle w:val="191"/>
        <w:shd w:val="clear" w:color="auto" w:fill="auto"/>
        <w:spacing w:line="240" w:lineRule="auto"/>
        <w:ind w:left="420" w:leftChars="200" w:firstLine="0" w:firstLineChars="0"/>
        <w:rPr>
          <w:rFonts w:hint="eastAsia" w:ascii="Times New Roman" w:hAnsi="Times New Roman" w:cs="Times New Roman"/>
          <w:i w:val="0"/>
          <w:iCs w:val="0"/>
          <w:color w:val="000000"/>
          <w:sz w:val="21"/>
        </w:rPr>
      </w:pPr>
      <w:r>
        <w:rPr>
          <w:rFonts w:ascii="Times New Roman" w:hAnsi="Times New Roman" w:cs="Times New Roman"/>
          <w:i w:val="0"/>
          <w:iCs w:val="0"/>
          <w:color w:val="000000"/>
          <w:sz w:val="21"/>
        </w:rPr>
        <w:t>[5]</w:t>
      </w:r>
      <w:r>
        <w:rPr>
          <w:rFonts w:ascii="Times New Roman" w:hAnsi="Times New Roman" w:cs="Times New Roman"/>
          <w:i w:val="0"/>
          <w:iCs w:val="0"/>
          <w:color w:val="000000"/>
          <w:sz w:val="21"/>
        </w:rPr>
        <w:tab/>
      </w:r>
      <w:r>
        <w:rPr>
          <w:rFonts w:ascii="Times New Roman" w:hAnsi="Times New Roman" w:cs="Times New Roman"/>
          <w:i w:val="0"/>
          <w:iCs w:val="0"/>
          <w:color w:val="000000"/>
          <w:sz w:val="21"/>
        </w:rPr>
        <w:t>AfPS-GS-2014-01-PAK，</w:t>
      </w:r>
      <w:r>
        <w:rPr>
          <w:rFonts w:hint="eastAsia" w:ascii="Times New Roman" w:hAnsi="Times New Roman" w:cs="Times New Roman"/>
          <w:i w:val="0"/>
          <w:iCs w:val="0"/>
          <w:color w:val="000000"/>
          <w:sz w:val="21"/>
        </w:rPr>
        <w:t xml:space="preserve">Testing and assessment of polycyclic aromatic hydrocarbons (PAHs) in the </w:t>
      </w:r>
    </w:p>
    <w:p>
      <w:pPr>
        <w:pStyle w:val="191"/>
        <w:shd w:val="clear" w:color="auto" w:fill="auto"/>
        <w:spacing w:line="240" w:lineRule="auto"/>
        <w:rPr>
          <w:rFonts w:ascii="Times New Roman" w:hAnsi="Times New Roman" w:cs="Times New Roman"/>
          <w:i w:val="0"/>
          <w:iCs w:val="0"/>
          <w:color w:val="000000"/>
          <w:sz w:val="21"/>
        </w:rPr>
      </w:pPr>
      <w:r>
        <w:rPr>
          <w:rFonts w:hint="eastAsia" w:ascii="Times New Roman" w:hAnsi="Times New Roman" w:cs="Times New Roman"/>
          <w:i w:val="0"/>
          <w:iCs w:val="0"/>
          <w:color w:val="000000"/>
          <w:sz w:val="21"/>
        </w:rPr>
        <w:t>course of awarding the GS mark</w:t>
      </w:r>
    </w:p>
    <w:p>
      <w:pPr>
        <w:pStyle w:val="191"/>
        <w:shd w:val="clear" w:color="auto" w:fill="auto"/>
        <w:spacing w:line="240" w:lineRule="auto"/>
        <w:ind w:left="420" w:leftChars="200" w:firstLine="0" w:firstLineChars="0"/>
        <w:rPr>
          <w:rFonts w:ascii="Times New Roman" w:hAnsi="Times New Roman" w:cs="Times New Roman"/>
          <w:i w:val="0"/>
          <w:iCs w:val="0"/>
          <w:color w:val="000000"/>
          <w:sz w:val="21"/>
        </w:rPr>
      </w:pPr>
      <w:r>
        <w:rPr>
          <w:rFonts w:ascii="Times New Roman" w:hAnsi="Times New Roman" w:cs="Times New Roman"/>
          <w:i w:val="0"/>
          <w:iCs w:val="0"/>
          <w:color w:val="000000"/>
          <w:sz w:val="21"/>
        </w:rPr>
        <w:t>[6]</w:t>
      </w:r>
      <w:r>
        <w:rPr>
          <w:rFonts w:ascii="Times New Roman" w:hAnsi="Times New Roman" w:cs="Times New Roman"/>
          <w:i w:val="0"/>
          <w:iCs w:val="0"/>
          <w:color w:val="000000"/>
          <w:sz w:val="21"/>
        </w:rPr>
        <w:tab/>
      </w:r>
      <w:r>
        <w:rPr>
          <w:rFonts w:ascii="Times New Roman" w:hAnsi="Times New Roman" w:cs="Times New Roman"/>
          <w:i w:val="0"/>
          <w:iCs w:val="0"/>
          <w:color w:val="000000"/>
          <w:sz w:val="21"/>
        </w:rPr>
        <w:t>KSM 9721，</w:t>
      </w:r>
      <w:r>
        <w:rPr>
          <w:rFonts w:hint="eastAsia" w:ascii="Times New Roman" w:hAnsi="Times New Roman" w:cs="Times New Roman"/>
          <w:i w:val="0"/>
          <w:iCs w:val="0"/>
          <w:color w:val="000000"/>
          <w:sz w:val="21"/>
        </w:rPr>
        <w:t>Determination of PAHs (polycyclic aromatic hydrocarbons) in polymer materials</w:t>
      </w:r>
    </w:p>
    <w:p>
      <w:pPr>
        <w:pStyle w:val="191"/>
        <w:shd w:val="clear" w:color="auto" w:fill="auto"/>
        <w:spacing w:line="240" w:lineRule="auto"/>
        <w:ind w:left="420" w:leftChars="200" w:firstLine="0" w:firstLineChars="0"/>
        <w:rPr>
          <w:rFonts w:hint="eastAsia" w:ascii="Times New Roman" w:hAnsi="Times New Roman" w:cs="Times New Roman"/>
          <w:i w:val="0"/>
          <w:iCs w:val="0"/>
          <w:color w:val="000000"/>
          <w:sz w:val="21"/>
        </w:rPr>
      </w:pPr>
      <w:r>
        <w:rPr>
          <w:rFonts w:ascii="Times New Roman" w:hAnsi="Times New Roman" w:cs="Times New Roman"/>
          <w:i w:val="0"/>
          <w:iCs w:val="0"/>
          <w:color w:val="000000"/>
          <w:sz w:val="21"/>
        </w:rPr>
        <w:t>[7]</w:t>
      </w:r>
      <w:r>
        <w:rPr>
          <w:rFonts w:ascii="Times New Roman" w:hAnsi="Times New Roman" w:cs="Times New Roman"/>
          <w:i w:val="0"/>
          <w:iCs w:val="0"/>
          <w:color w:val="000000"/>
          <w:sz w:val="21"/>
        </w:rPr>
        <w:tab/>
      </w:r>
      <w:r>
        <w:rPr>
          <w:rFonts w:hint="eastAsia" w:ascii="Times New Roman" w:hAnsi="Times New Roman" w:cs="Times New Roman"/>
          <w:i w:val="0"/>
          <w:iCs w:val="0"/>
          <w:color w:val="000000"/>
          <w:sz w:val="21"/>
        </w:rPr>
        <w:t>Validation of Analytical Procedures:Text and Methodology Q2 (R1)</w:t>
      </w:r>
      <w:r>
        <w:rPr>
          <w:rFonts w:hint="eastAsia" w:ascii="Times New Roman" w:hAnsi="Times New Roman" w:cs="Times New Roman"/>
          <w:i w:val="0"/>
          <w:iCs w:val="0"/>
          <w:color w:val="000000"/>
          <w:sz w:val="21"/>
          <w:lang w:eastAsia="zh-CN"/>
        </w:rPr>
        <w:t>，</w:t>
      </w:r>
      <w:r>
        <w:rPr>
          <w:rFonts w:hint="eastAsia" w:ascii="Times New Roman" w:hAnsi="Times New Roman" w:cs="Times New Roman"/>
          <w:i w:val="0"/>
          <w:iCs w:val="0"/>
          <w:color w:val="000000"/>
          <w:sz w:val="21"/>
        </w:rPr>
        <w:t xml:space="preserve"> Current Step 4version</w:t>
      </w:r>
      <w:r>
        <w:rPr>
          <w:rFonts w:hint="eastAsia" w:ascii="Times New Roman" w:hAnsi="Times New Roman" w:cs="Times New Roman"/>
          <w:i w:val="0"/>
          <w:iCs w:val="0"/>
          <w:color w:val="000000"/>
          <w:sz w:val="21"/>
          <w:lang w:eastAsia="zh-CN"/>
        </w:rPr>
        <w:t>，</w:t>
      </w:r>
      <w:r>
        <w:rPr>
          <w:rFonts w:hint="eastAsia" w:ascii="Times New Roman" w:hAnsi="Times New Roman" w:cs="Times New Roman"/>
          <w:i w:val="0"/>
          <w:iCs w:val="0"/>
          <w:color w:val="000000"/>
          <w:sz w:val="21"/>
        </w:rPr>
        <w:t xml:space="preserve"> </w:t>
      </w:r>
    </w:p>
    <w:p>
      <w:pPr>
        <w:pStyle w:val="191"/>
        <w:shd w:val="clear" w:color="auto" w:fill="auto"/>
        <w:spacing w:line="240" w:lineRule="auto"/>
        <w:rPr>
          <w:rFonts w:hint="eastAsia" w:ascii="Times New Roman" w:hAnsi="Times New Roman" w:cs="Times New Roman"/>
          <w:i w:val="0"/>
          <w:iCs w:val="0"/>
          <w:color w:val="000000"/>
          <w:sz w:val="21"/>
        </w:rPr>
      </w:pPr>
      <w:r>
        <w:rPr>
          <w:rFonts w:hint="eastAsia" w:ascii="Times New Roman" w:hAnsi="Times New Roman" w:cs="Times New Roman"/>
          <w:i w:val="0"/>
          <w:iCs w:val="0"/>
          <w:color w:val="000000"/>
          <w:sz w:val="21"/>
        </w:rPr>
        <w:t>International Conference on Harmonization Guidance</w:t>
      </w:r>
    </w:p>
    <w:p>
      <w:pPr>
        <w:pStyle w:val="191"/>
        <w:shd w:val="clear" w:color="auto" w:fill="auto"/>
        <w:spacing w:line="240" w:lineRule="auto"/>
        <w:ind w:left="420" w:leftChars="200" w:firstLine="0" w:firstLineChars="0"/>
        <w:rPr>
          <w:rFonts w:hint="eastAsia" w:ascii="Times New Roman" w:hAnsi="Times New Roman" w:cs="Times New Roman"/>
          <w:i w:val="0"/>
          <w:iCs w:val="0"/>
          <w:color w:val="000000"/>
          <w:sz w:val="21"/>
        </w:rPr>
      </w:pPr>
      <w:r>
        <w:rPr>
          <w:rFonts w:ascii="Times New Roman" w:hAnsi="Times New Roman" w:cs="Times New Roman"/>
          <w:i w:val="0"/>
          <w:iCs w:val="0"/>
          <w:color w:val="000000"/>
          <w:sz w:val="21"/>
        </w:rPr>
        <w:t>[8]</w:t>
      </w:r>
      <w:r>
        <w:rPr>
          <w:rFonts w:ascii="Times New Roman" w:hAnsi="Times New Roman" w:cs="Times New Roman"/>
          <w:i w:val="0"/>
          <w:iCs w:val="0"/>
          <w:color w:val="000000"/>
          <w:sz w:val="21"/>
        </w:rPr>
        <w:tab/>
      </w:r>
      <w:r>
        <w:rPr>
          <w:rFonts w:hint="eastAsia" w:ascii="Times New Roman" w:hAnsi="Times New Roman" w:cs="Times New Roman"/>
          <w:i w:val="0"/>
          <w:iCs w:val="0"/>
          <w:color w:val="000000"/>
          <w:sz w:val="21"/>
        </w:rPr>
        <w:t>United States Environmental Protection Agency (EPA)</w:t>
      </w:r>
      <w:r>
        <w:rPr>
          <w:rFonts w:hint="eastAsia" w:ascii="Times New Roman" w:hAnsi="Times New Roman" w:cs="Times New Roman"/>
          <w:i w:val="0"/>
          <w:iCs w:val="0"/>
          <w:color w:val="000000"/>
          <w:sz w:val="21"/>
          <w:lang w:eastAsia="zh-CN"/>
        </w:rPr>
        <w:t>，</w:t>
      </w:r>
      <w:r>
        <w:rPr>
          <w:rFonts w:hint="eastAsia" w:ascii="Times New Roman" w:hAnsi="Times New Roman" w:cs="Times New Roman"/>
          <w:i w:val="0"/>
          <w:iCs w:val="0"/>
          <w:color w:val="000000"/>
          <w:sz w:val="21"/>
        </w:rPr>
        <w:t>EPA 8270c:1996: Semivolatile</w:t>
      </w:r>
      <w:r>
        <w:rPr>
          <w:rFonts w:hint="eastAsia" w:ascii="Times New Roman" w:hAnsi="Times New Roman" w:cs="Times New Roman"/>
          <w:i w:val="0"/>
          <w:iCs w:val="0"/>
          <w:color w:val="000000"/>
          <w:sz w:val="21"/>
          <w:lang w:val="en-US" w:eastAsia="zh-CN"/>
        </w:rPr>
        <w:t xml:space="preserve"> </w:t>
      </w:r>
      <w:r>
        <w:rPr>
          <w:rFonts w:hint="eastAsia" w:ascii="Times New Roman" w:hAnsi="Times New Roman" w:cs="Times New Roman"/>
          <w:i w:val="0"/>
          <w:iCs w:val="0"/>
          <w:color w:val="000000"/>
          <w:sz w:val="21"/>
        </w:rPr>
        <w:t xml:space="preserve">organic </w:t>
      </w:r>
    </w:p>
    <w:p>
      <w:pPr>
        <w:pStyle w:val="191"/>
        <w:shd w:val="clear" w:color="auto" w:fill="auto"/>
        <w:spacing w:line="240" w:lineRule="auto"/>
        <w:rPr>
          <w:rFonts w:ascii="Times New Roman" w:hAnsi="Times New Roman" w:cs="Times New Roman"/>
          <w:i w:val="0"/>
          <w:iCs w:val="0"/>
          <w:color w:val="000000"/>
          <w:sz w:val="21"/>
        </w:rPr>
      </w:pPr>
      <w:r>
        <w:rPr>
          <w:rFonts w:hint="eastAsia" w:ascii="Times New Roman" w:hAnsi="Times New Roman" w:cs="Times New Roman"/>
          <w:i w:val="0"/>
          <w:iCs w:val="0"/>
          <w:color w:val="000000"/>
          <w:sz w:val="21"/>
        </w:rPr>
        <w:t>compounds by gas chromatography and mass spectrometry</w:t>
      </w:r>
    </w:p>
    <w:p>
      <w:pPr>
        <w:pStyle w:val="191"/>
        <w:shd w:val="clear" w:color="auto" w:fill="auto"/>
        <w:spacing w:line="240" w:lineRule="auto"/>
        <w:ind w:left="420" w:leftChars="200" w:firstLine="0" w:firstLineChars="0"/>
        <w:rPr>
          <w:rFonts w:hint="eastAsia" w:ascii="Times New Roman" w:hAnsi="Times New Roman" w:cs="Times New Roman"/>
          <w:i w:val="0"/>
          <w:iCs w:val="0"/>
          <w:color w:val="000000"/>
          <w:sz w:val="21"/>
        </w:rPr>
      </w:pPr>
      <w:r>
        <w:rPr>
          <w:rFonts w:ascii="Times New Roman" w:hAnsi="Times New Roman" w:cs="Times New Roman"/>
          <w:i w:val="0"/>
          <w:iCs w:val="0"/>
          <w:color w:val="000000"/>
          <w:sz w:val="21"/>
        </w:rPr>
        <w:t>[9]</w:t>
      </w:r>
      <w:r>
        <w:rPr>
          <w:rFonts w:ascii="Times New Roman" w:hAnsi="Times New Roman" w:cs="Times New Roman"/>
          <w:i w:val="0"/>
          <w:iCs w:val="0"/>
          <w:color w:val="000000"/>
          <w:sz w:val="21"/>
        </w:rPr>
        <w:tab/>
      </w:r>
      <w:r>
        <w:rPr>
          <w:rFonts w:hint="eastAsia" w:ascii="Times New Roman" w:hAnsi="Times New Roman" w:cs="Times New Roman"/>
          <w:i w:val="0"/>
          <w:iCs w:val="0"/>
          <w:color w:val="000000"/>
          <w:sz w:val="21"/>
        </w:rPr>
        <w:t>COMMISSION REGULATION (EU) No 1272/2013 of 6 December 2013</w:t>
      </w:r>
      <w:r>
        <w:rPr>
          <w:rFonts w:hint="eastAsia" w:ascii="Times New Roman" w:hAnsi="Times New Roman" w:cs="Times New Roman"/>
          <w:i w:val="0"/>
          <w:iCs w:val="0"/>
          <w:color w:val="000000"/>
          <w:sz w:val="21"/>
          <w:lang w:eastAsia="zh-CN"/>
        </w:rPr>
        <w:t>，</w:t>
      </w:r>
      <w:r>
        <w:rPr>
          <w:rFonts w:hint="eastAsia" w:ascii="Times New Roman" w:hAnsi="Times New Roman" w:cs="Times New Roman"/>
          <w:i w:val="0"/>
          <w:iCs w:val="0"/>
          <w:color w:val="000000"/>
          <w:sz w:val="21"/>
        </w:rPr>
        <w:t>amending Annex</w:t>
      </w:r>
      <w:r>
        <w:rPr>
          <w:rFonts w:hint="eastAsia" w:ascii="Times New Roman" w:hAnsi="Times New Roman" w:cs="Times New Roman"/>
          <w:i w:val="0"/>
          <w:iCs w:val="0"/>
          <w:color w:val="000000"/>
          <w:sz w:val="21"/>
          <w:lang w:val="en-US" w:eastAsia="zh-CN"/>
        </w:rPr>
        <w:t xml:space="preserve"> </w:t>
      </w:r>
      <w:r>
        <w:rPr>
          <w:rFonts w:hint="eastAsia" w:ascii="Times New Roman" w:hAnsi="Times New Roman" w:cs="Times New Roman"/>
          <w:i w:val="0"/>
          <w:iCs w:val="0"/>
          <w:color w:val="000000"/>
          <w:sz w:val="21"/>
        </w:rPr>
        <w:t xml:space="preserve">XVII to </w:t>
      </w:r>
    </w:p>
    <w:p>
      <w:pPr>
        <w:pStyle w:val="191"/>
        <w:shd w:val="clear" w:color="auto" w:fill="auto"/>
        <w:spacing w:line="240" w:lineRule="auto"/>
        <w:rPr>
          <w:szCs w:val="21"/>
        </w:rPr>
      </w:pPr>
      <w:r>
        <w:rPr>
          <w:rFonts w:hint="eastAsia" w:ascii="Times New Roman" w:hAnsi="Times New Roman" w:cs="Times New Roman"/>
          <w:i w:val="0"/>
          <w:iCs w:val="0"/>
          <w:color w:val="000000"/>
          <w:sz w:val="21"/>
        </w:rPr>
        <w:t>Regulation (EC) No 1907/2006 of the European Parliament and of the Council on the Registration</w:t>
      </w:r>
      <w:r>
        <w:rPr>
          <w:rFonts w:hint="eastAsia" w:ascii="Times New Roman" w:hAnsi="Times New Roman" w:cs="Times New Roman"/>
          <w:i w:val="0"/>
          <w:iCs w:val="0"/>
          <w:color w:val="000000"/>
          <w:sz w:val="21"/>
          <w:lang w:eastAsia="zh-CN"/>
        </w:rPr>
        <w:t>，</w:t>
      </w:r>
      <w:r>
        <w:rPr>
          <w:rFonts w:hint="eastAsia" w:ascii="Times New Roman" w:hAnsi="Times New Roman" w:cs="Times New Roman"/>
          <w:i w:val="0"/>
          <w:iCs w:val="0"/>
          <w:color w:val="000000"/>
          <w:sz w:val="21"/>
        </w:rPr>
        <w:t xml:space="preserve"> Evaluation</w:t>
      </w:r>
      <w:r>
        <w:rPr>
          <w:rFonts w:hint="eastAsia" w:ascii="Times New Roman" w:hAnsi="Times New Roman" w:cs="Times New Roman"/>
          <w:i w:val="0"/>
          <w:iCs w:val="0"/>
          <w:color w:val="000000"/>
          <w:sz w:val="21"/>
          <w:lang w:eastAsia="zh-CN"/>
        </w:rPr>
        <w:t>，</w:t>
      </w:r>
      <w:r>
        <w:rPr>
          <w:rFonts w:hint="eastAsia" w:ascii="Times New Roman" w:hAnsi="Times New Roman" w:cs="Times New Roman"/>
          <w:i w:val="0"/>
          <w:iCs w:val="0"/>
          <w:color w:val="000000"/>
          <w:sz w:val="21"/>
        </w:rPr>
        <w:t>Authorisation and Restriction of Chemicals (REACH) as regards polycyclic aromatic hydrocarbons</w:t>
      </w:r>
    </w:p>
    <w:p>
      <w:pPr>
        <w:rPr>
          <w:szCs w:val="21"/>
        </w:rPr>
      </w:pPr>
    </w:p>
    <w:p>
      <w:pPr>
        <w:jc w:val="center"/>
        <w:rPr>
          <w:szCs w:val="21"/>
        </w:rPr>
      </w:pPr>
      <w:r>
        <w:rPr>
          <w:szCs w:val="21"/>
        </w:rPr>
        <w:t>_____________</w:t>
      </w:r>
    </w:p>
    <w:p>
      <w:pPr>
        <w:ind w:firstLine="415" w:firstLineChars="198"/>
      </w:pPr>
    </w:p>
    <w:sectPr>
      <w:footerReference r:id="rId13" w:type="default"/>
      <w:footerReference r:id="rId14" w:type="even"/>
      <w:pgSz w:w="11906" w:h="16838"/>
      <w:pgMar w:top="567" w:right="1134" w:bottom="1134" w:left="1418" w:header="1418" w:footer="1134" w:gutter="0"/>
      <w:pgNumType w:fmt="decimal"/>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MingLiU_HKSCS">
    <w:panose1 w:val="02020500000000000000"/>
    <w:charset w:val="88"/>
    <w:family w:val="roman"/>
    <w:pitch w:val="default"/>
    <w:sig w:usb0="A00002FF" w:usb1="38CFFCFA" w:usb2="00000016" w:usb3="00000000" w:csb0="0010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Trebuchet MS">
    <w:panose1 w:val="020B0603020202020204"/>
    <w:charset w:val="00"/>
    <w:family w:val="swiss"/>
    <w:pitch w:val="default"/>
    <w:sig w:usb0="00000287" w:usb1="00000000" w:usb2="00000000" w:usb3="00000000" w:csb0="2000009F" w:csb1="00000000"/>
  </w:font>
  <w:font w:name="Cambria Math">
    <w:panose1 w:val="02040503050406030204"/>
    <w:charset w:val="00"/>
    <w:family w:val="roman"/>
    <w:pitch w:val="default"/>
    <w:sig w:usb0="E00002FF" w:usb1="420024FF" w:usb2="00000000" w:usb3="00000000" w:csb0="2000019F"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Microsoft JhengHei Light">
    <w:altName w:val="Microsoft JhengHei"/>
    <w:panose1 w:val="020B0304030504040204"/>
    <w:charset w:val="88"/>
    <w:family w:val="swiss"/>
    <w:pitch w:val="default"/>
    <w:sig w:usb0="00000000" w:usb1="00000000" w:usb2="00000016" w:usb3="00000000" w:csb0="00100009" w:csb1="00000000"/>
  </w:font>
  <w:font w:name="MS Mincho">
    <w:panose1 w:val="020206090402050803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 w:name="CordiaUPC">
    <w:panose1 w:val="020B0304020202020204"/>
    <w:charset w:val="DE"/>
    <w:family w:val="swiss"/>
    <w:pitch w:val="default"/>
    <w:sig w:usb0="81000003" w:usb1="00000000" w:usb2="00000000" w:usb3="00000000" w:csb0="00010001" w:csb1="00000000"/>
  </w:font>
  <w:font w:name="Candara">
    <w:panose1 w:val="020E0502030303020204"/>
    <w:charset w:val="00"/>
    <w:family w:val="swiss"/>
    <w:pitch w:val="default"/>
    <w:sig w:usb0="A00002EF" w:usb1="4000A44B" w:usb2="00000000" w:usb3="00000000" w:csb0="2000019F" w:csb1="00000000"/>
  </w:font>
  <w:font w:name="AngsanaUPC">
    <w:panose1 w:val="02020603050405020304"/>
    <w:charset w:val="DE"/>
    <w:family w:val="roman"/>
    <w:pitch w:val="default"/>
    <w:sig w:usb0="81000003" w:usb1="00000000" w:usb2="00000000" w:usb3="00000000" w:csb0="00010001" w:csb1="00000000"/>
  </w:font>
  <w:font w:name="MingLiU-ExtB">
    <w:panose1 w:val="02020500000000000000"/>
    <w:charset w:val="88"/>
    <w:family w:val="auto"/>
    <w:pitch w:val="default"/>
    <w:sig w:usb0="8000002F" w:usb1="02000008" w:usb2="00000000" w:usb3="00000000" w:csb0="00100001" w:csb1="00000000"/>
  </w:font>
  <w:font w:name="Microsoft Sans Serif">
    <w:panose1 w:val="020B0604020202020204"/>
    <w:charset w:val="00"/>
    <w:family w:val="auto"/>
    <w:pitch w:val="default"/>
    <w:sig w:usb0="E1002AFF" w:usb1="C0000002" w:usb2="00000008" w:usb3="00000000" w:csb0="200101FF" w:csb1="20280000"/>
  </w:font>
  <w:font w:name="Microsoft JhengHei">
    <w:panose1 w:val="020B0604030504040204"/>
    <w:charset w:val="88"/>
    <w:family w:val="auto"/>
    <w:pitch w:val="default"/>
    <w:sig w:usb0="00000087" w:usb1="28AF4000" w:usb2="00000016" w:usb3="00000000" w:csb0="00100009" w:csb1="00000000"/>
  </w:font>
  <w:font w:name="Yu Gothic UI">
    <w:altName w:val="Meiryo UI"/>
    <w:panose1 w:val="020B0500000000000000"/>
    <w:charset w:val="80"/>
    <w:family w:val="auto"/>
    <w:pitch w:val="default"/>
    <w:sig w:usb0="00000000" w:usb1="00000000" w:usb2="00000016" w:usb3="00000000" w:csb0="2002009F" w:csb1="00000000"/>
  </w:font>
  <w:font w:name="Meiryo UI">
    <w:panose1 w:val="020B0604030504040204"/>
    <w:charset w:val="80"/>
    <w:family w:val="auto"/>
    <w:pitch w:val="default"/>
    <w:sig w:usb0="E10102FF" w:usb1="EAC7FFFF" w:usb2="00010012" w:usb3="00000000" w:csb0="6002009F" w:csb1="DFD70000"/>
  </w:font>
  <w:font w:name="DejaVu Sans">
    <w:altName w:val="Times New Roman"/>
    <w:panose1 w:val="02020603050405020304"/>
    <w:charset w:val="00"/>
    <w:family w:val="roman"/>
    <w:pitch w:val="default"/>
    <w:sig w:usb0="00000000" w:usb1="0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swiss"/>
    <w:pitch w:val="default"/>
    <w:sig w:usb0="FFFFFFFF" w:usb1="E9FFFFFF" w:usb2="0000003F" w:usb3="00000000" w:csb0="603F01FF" w:csb1="FFFF0000"/>
  </w:font>
  <w:font w:name="华文细黑">
    <w:panose1 w:val="02010600040101010101"/>
    <w:charset w:val="86"/>
    <w:family w:val="auto"/>
    <w:pitch w:val="default"/>
    <w:sig w:usb0="00000287" w:usb1="080F0000" w:usb2="00000000" w:usb3="00000000" w:csb0="0004009F" w:csb1="DFD70000"/>
  </w:font>
  <w:font w:name="汉仪书宋二KW">
    <w:altName w:val="宋体"/>
    <w:panose1 w:val="00020600040101010101"/>
    <w:charset w:val="86"/>
    <w:family w:val="auto"/>
    <w:pitch w:val="default"/>
    <w:sig w:usb0="00000000" w:usb1="00000000" w:usb2="00000016" w:usb3="00000000" w:csb0="00040000" w:csb1="00000000"/>
  </w:font>
  <w:font w:name="汉仪中等线KW">
    <w:altName w:val="宋体"/>
    <w:panose1 w:val="01010104010101010101"/>
    <w:charset w:val="86"/>
    <w:family w:val="auto"/>
    <w:pitch w:val="default"/>
    <w:sig w:usb0="00000000" w:usb1="00000000" w:usb2="00000000" w:usb3="00000000" w:csb0="00040001" w:csb1="00000000"/>
  </w:font>
  <w:font w:name="汉仪书宋二KW">
    <w:altName w:val="宋体"/>
    <w:panose1 w:val="00020600040101010101"/>
    <w:charset w:val="7A"/>
    <w:family w:val="auto"/>
    <w:pitch w:val="default"/>
    <w:sig w:usb0="00000000" w:usb1="00000000" w:usb2="00000016" w:usb3="00000000" w:csb0="00040000" w:csb1="00000000"/>
  </w:font>
  <w:font w:name="汉仪旗黑KW">
    <w:altName w:val="黑体"/>
    <w:panose1 w:val="00020600040101010101"/>
    <w:charset w:val="86"/>
    <w:family w:val="auto"/>
    <w:pitch w:val="default"/>
    <w:sig w:usb0="00000000" w:usb1="00000000" w:usb2="00000016" w:usb3="00000000" w:csb0="0004009F" w:csb1="DFD70000"/>
  </w:font>
  <w:font w:name="汉仪楷体KW">
    <w:altName w:val="宋体"/>
    <w:panose1 w:val="00020600040101010101"/>
    <w:charset w:val="86"/>
    <w:family w:val="auto"/>
    <w:pitch w:val="default"/>
    <w:sig w:usb0="00000000" w:usb1="00000000" w:usb2="00000016" w:usb3="00000000" w:csb0="00040000" w:csb1="00000000"/>
  </w:font>
  <w:font w:name="苹方-简">
    <w:altName w:val="宋体"/>
    <w:panose1 w:val="020B0400000000000000"/>
    <w:charset w:val="86"/>
    <w:family w:val="auto"/>
    <w:pitch w:val="default"/>
    <w:sig w:usb0="00000000" w:usb1="00000000" w:usb2="00000017" w:usb3="00000000" w:csb0="00040001" w:csb1="00000000"/>
  </w:font>
  <w:font w:name="Arial Rounded MT Bold">
    <w:panose1 w:val="020F0704030504030204"/>
    <w:charset w:val="00"/>
    <w:family w:val="auto"/>
    <w:pitch w:val="default"/>
    <w:sig w:usb0="00000003" w:usb1="00000000" w:usb2="00000000" w:usb3="00000000" w:csb0="20000001" w:csb1="00000000"/>
  </w:font>
  <w:font w:name="汉仪中黑KW">
    <w:altName w:val="黑体"/>
    <w:panose1 w:val="00020600040101010101"/>
    <w:charset w:val="86"/>
    <w:family w:val="auto"/>
    <w:pitch w:val="default"/>
    <w:sig w:usb0="00000000" w:usb1="00000000" w:usb2="00000016" w:usb3="00000000" w:csb0="00040000" w:csb1="00000000"/>
  </w:font>
  <w:font w:name="Traditional Arabic">
    <w:panose1 w:val="02020603050405020304"/>
    <w:charset w:val="00"/>
    <w:family w:val="auto"/>
    <w:pitch w:val="default"/>
    <w:sig w:usb0="00006003" w:usb1="80000000" w:usb2="00000008" w:usb3="00000000" w:csb0="00000041" w:csb1="20080000"/>
  </w:font>
  <w:font w:name="仿宋_GB2312">
    <w:altName w:val="仿宋"/>
    <w:panose1 w:val="00000000000000000000"/>
    <w:charset w:val="86"/>
    <w:family w:val="modern"/>
    <w:pitch w:val="default"/>
    <w:sig w:usb0="00000000" w:usb1="00000000" w:usb2="00000010" w:usb3="00000000" w:csb0="00040000" w:csb1="00000000"/>
  </w:font>
  <w:font w:name="Segoe UI Symbol">
    <w:panose1 w:val="020B0502040204020203"/>
    <w:charset w:val="00"/>
    <w:family w:val="swiss"/>
    <w:pitch w:val="default"/>
    <w:sig w:usb0="8000006F" w:usb1="1200FBEF" w:usb2="0004C000" w:usb3="00000000" w:csb0="00000001" w:csb1="40000000"/>
  </w:font>
  <w:font w:name="Helvetica">
    <w:altName w:val="Arial"/>
    <w:panose1 w:val="020B0604020202020204"/>
    <w:charset w:val="00"/>
    <w:family w:val="swiss"/>
    <w:pitch w:val="default"/>
    <w:sig w:usb0="00000000" w:usb1="00000000" w:usb2="00000009" w:usb3="00000000" w:csb0="000001FF" w:csb1="00000000"/>
  </w:font>
  <w:font w:name="Webdings">
    <w:panose1 w:val="05030102010509060703"/>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Snap ITC">
    <w:panose1 w:val="04040A07060A02020202"/>
    <w:charset w:val="00"/>
    <w:family w:val="auto"/>
    <w:pitch w:val="default"/>
    <w:sig w:usb0="00000003" w:usb1="00000000" w:usb2="00000000" w:usb3="00000000" w:csb0="20000001" w:csb1="00000000"/>
  </w:font>
  <w:font w:name="Stencil">
    <w:panose1 w:val="040409050D0802020404"/>
    <w:charset w:val="00"/>
    <w:family w:val="auto"/>
    <w:pitch w:val="default"/>
    <w:sig w:usb0="00000003" w:usb1="00000000" w:usb2="00000000" w:usb3="00000000" w:csb0="20000001" w:csb1="0000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TimesNewRomanPSMT">
    <w:altName w:val="Times New Roman"/>
    <w:panose1 w:val="00000000000000000000"/>
    <w:charset w:val="00"/>
    <w:family w:val="auto"/>
    <w:pitch w:val="default"/>
    <w:sig w:usb0="00000000" w:usb1="00000000" w:usb2="00000009" w:usb3="00000000" w:csb0="000001FF" w:csb1="00000000"/>
  </w:font>
  <w:font w:name="Times">
    <w:altName w:val="Times New Roman"/>
    <w:panose1 w:val="02020603050405020304"/>
    <w:charset w:val="00"/>
    <w:family w:val="auto"/>
    <w:pitch w:val="default"/>
    <w:sig w:usb0="00000000" w:usb1="00000000" w:usb2="00000000" w:usb3="00000000" w:csb0="00000001" w:csb1="00000000"/>
  </w:font>
  <w:font w:name="Calibri Light">
    <w:panose1 w:val="020F0302020204030204"/>
    <w:charset w:val="00"/>
    <w:family w:val="swiss"/>
    <w:pitch w:val="default"/>
    <w:sig w:usb0="A00002EF" w:usb1="4000207B" w:usb2="00000000" w:usb3="00000000" w:csb0="2000019F" w:csb1="00000000"/>
  </w:font>
  <w:font w:name="Gabriola">
    <w:panose1 w:val="04040605051002020D02"/>
    <w:charset w:val="00"/>
    <w:family w:val="auto"/>
    <w:pitch w:val="default"/>
    <w:sig w:usb0="E00002EF" w:usb1="50002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1JoQU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y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1JoQUVAgAAFQ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70022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n+nJ0VAgAAFQQAAA4AAABkcnMvZTJvRG9jLnhtbK1Ty47TMBTdI/EP&#10;lvc0aUcM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hRDOFHZ2+fzv9+HX6+ZVAB4Ba62fw21h4hu6t6bDoQe+hjHN3&#10;lVPxxkQEdkB9vMArukB4DJpOptMcJg7b8ED+7DHcOh/eCaNIFArqsL8EKzusfehdB5dYTZtVI2Xa&#10;odSkLej11e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On+nJ0VAgAAFQ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NTIJUVAgAAFQ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4AVXYVAgAAFQQAAA4AAABkcnMvZTJvRG9jLnhtbK1Ty47TMBTdI/EP&#10;lvc0aQdG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mRDOFHZ2+fzv9+HX6+ZVAB4Ba62fw21h4hu6t6bDoQe+hjHN3&#10;lVPxxkQEdkB9vMArukB4DJpOptMcJg7b8ED+7DHcOh/eCaNIFArqsL8EKzusfehdB5dYTZtVI2Xa&#10;odSkLej11Z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4AVXYVAgAAFQ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8179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yowpkVAgAAFQ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961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tWC3IVAgAAFQ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left" w:pos="4820"/>
      </w:tabs>
      <w:adjustRightInd w:val="0"/>
      <w:snapToGrid w:val="0"/>
      <w:spacing w:before="120" w:beforeLines="50" w:after="120" w:afterLines="50"/>
      <w:ind w:firstLine="5670" w:firstLineChars="2700"/>
      <w:rPr>
        <w:bCs/>
        <w:sz w:val="18"/>
        <w:szCs w:val="21"/>
      </w:rPr>
    </w:pPr>
    <w:r>
      <w:rPr>
        <w:rFonts w:ascii="Times New Roman"/>
      </w:rPr>
      <w:t xml:space="preserve">GB/T </w:t>
    </w:r>
    <w:r>
      <w:rPr>
        <w:rFonts w:hint="eastAsia" w:ascii="Times New Roman"/>
      </w:rPr>
      <w:t>39560.10</w:t>
    </w:r>
    <w:r>
      <w:t>—</w:t>
    </w:r>
    <w:r>
      <w:rPr>
        <w:rFonts w:hint="eastAsia"/>
        <w:lang w:val="en-US" w:eastAsia="zh-CN"/>
      </w:rPr>
      <w:t>XXXX/</w:t>
    </w:r>
    <w:r>
      <w:rPr>
        <w:bCs/>
        <w:sz w:val="18"/>
        <w:szCs w:val="21"/>
      </w:rPr>
      <w:t xml:space="preserve">IEC 62321-10:2020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left" w:pos="4820"/>
      </w:tabs>
      <w:adjustRightInd w:val="0"/>
      <w:snapToGrid w:val="0"/>
      <w:spacing w:before="120" w:beforeLines="50" w:after="120" w:afterLines="50"/>
      <w:ind w:firstLine="4860" w:firstLineChars="2700"/>
      <w:rPr>
        <w:bCs/>
        <w:sz w:val="18"/>
        <w:szCs w:val="21"/>
      </w:rPr>
    </w:pPr>
    <w:r>
      <w:rPr>
        <w:bCs/>
        <w:sz w:val="18"/>
        <w:szCs w:val="21"/>
      </w:rPr>
      <w:tab/>
    </w:r>
    <w:r>
      <w:rPr>
        <w:rFonts w:hint="eastAsia"/>
        <w:bCs/>
        <w:sz w:val="18"/>
        <w:szCs w:val="21"/>
        <w:lang w:val="en-US" w:eastAsia="zh-CN"/>
      </w:rPr>
      <w:t xml:space="preserve">       </w:t>
    </w:r>
    <w:r>
      <w:rPr>
        <w:rFonts w:ascii="Times New Roman"/>
      </w:rPr>
      <w:t xml:space="preserve">GB/T </w:t>
    </w:r>
    <w:r>
      <w:rPr>
        <w:rFonts w:hint="eastAsia" w:ascii="Times New Roman"/>
      </w:rPr>
      <w:t>39560.10</w:t>
    </w:r>
    <w:r>
      <w:t>—</w:t>
    </w:r>
    <w:r>
      <w:rPr>
        <w:rFonts w:hint="eastAsia"/>
        <w:lang w:val="en-US" w:eastAsia="zh-CN"/>
      </w:rPr>
      <w:t>XXXX/</w:t>
    </w:r>
    <w:r>
      <w:rPr>
        <w:bCs/>
        <w:sz w:val="18"/>
        <w:szCs w:val="21"/>
      </w:rPr>
      <w:t xml:space="preserve">IEC 62321-10:2020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left" w:pos="4820"/>
      </w:tabs>
      <w:adjustRightInd w:val="0"/>
      <w:snapToGrid w:val="0"/>
      <w:spacing w:before="120" w:beforeLines="50" w:after="120" w:afterLines="50"/>
      <w:ind w:firstLine="5460" w:firstLineChars="2600"/>
      <w:rPr>
        <w:bCs/>
        <w:sz w:val="18"/>
        <w:szCs w:val="21"/>
      </w:rPr>
    </w:pPr>
    <w:r>
      <w:rPr>
        <w:rFonts w:ascii="Times New Roman"/>
      </w:rPr>
      <w:t xml:space="preserve">GB/T </w:t>
    </w:r>
    <w:r>
      <w:rPr>
        <w:rFonts w:hint="eastAsia" w:ascii="Times New Roman"/>
      </w:rPr>
      <w:t>39560.10</w:t>
    </w:r>
    <w:r>
      <w:t>—</w:t>
    </w:r>
    <w:r>
      <w:rPr>
        <w:rFonts w:hint="eastAsia"/>
        <w:lang w:val="en-US" w:eastAsia="zh-CN"/>
      </w:rPr>
      <w:t>XXXX</w:t>
    </w:r>
    <w:r>
      <w:rPr>
        <w:rFonts w:hint="eastAsia"/>
        <w:sz w:val="21"/>
        <w:szCs w:val="21"/>
        <w:lang w:val="en-US" w:eastAsia="zh-CN"/>
      </w:rPr>
      <w:t>/</w:t>
    </w:r>
    <w:r>
      <w:rPr>
        <w:bCs/>
        <w:sz w:val="21"/>
        <w:szCs w:val="21"/>
      </w:rPr>
      <w:t xml:space="preserve">IEC 62321-10:2020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left" w:pos="4820"/>
      </w:tabs>
      <w:adjustRightInd w:val="0"/>
      <w:snapToGrid w:val="0"/>
      <w:spacing w:before="120" w:beforeLines="50" w:after="120" w:afterLines="50"/>
      <w:rPr>
        <w:bCs/>
        <w:sz w:val="18"/>
        <w:szCs w:val="21"/>
      </w:rPr>
    </w:pPr>
    <w:r>
      <w:rPr>
        <w:rFonts w:ascii="Times New Roman"/>
      </w:rPr>
      <w:t xml:space="preserve">GB/T </w:t>
    </w:r>
    <w:r>
      <w:rPr>
        <w:rFonts w:hint="eastAsia" w:ascii="Times New Roman"/>
      </w:rPr>
      <w:t>39560.10</w:t>
    </w:r>
    <w:r>
      <w:t>—</w:t>
    </w:r>
    <w:r>
      <w:rPr>
        <w:rFonts w:hint="eastAsia"/>
        <w:lang w:val="en-US" w:eastAsia="zh-CN"/>
      </w:rPr>
      <w:t>XXXX/</w:t>
    </w:r>
    <w:r>
      <w:rPr>
        <w:bCs/>
        <w:sz w:val="21"/>
        <w:szCs w:val="21"/>
      </w:rPr>
      <w:t xml:space="preserve">IEC 62321-10:2020 </w:t>
    </w:r>
    <w:r>
      <w:rPr>
        <w:bCs/>
        <w:sz w:val="18"/>
        <w:szCs w:val="21"/>
      </w:rPr>
      <w:tab/>
    </w:r>
    <w:r>
      <w:rPr>
        <w:rFonts w:hint="eastAsia"/>
        <w:bCs/>
        <w:sz w:val="18"/>
        <w:szCs w:val="21"/>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6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30B30BE"/>
    <w:multiLevelType w:val="multilevel"/>
    <w:tmpl w:val="130B30BE"/>
    <w:lvl w:ilvl="0" w:tentative="0">
      <w:start w:val="1"/>
      <w:numFmt w:val="none"/>
      <w:lvlText w:val="——"/>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1DBF583A"/>
    <w:multiLevelType w:val="multilevel"/>
    <w:tmpl w:val="1DBF583A"/>
    <w:lvl w:ilvl="0" w:tentative="0">
      <w:start w:val="1"/>
      <w:numFmt w:val="decimal"/>
      <w:pStyle w:val="7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50"/>
      <w:suff w:val="nothing"/>
      <w:lvlText w:val="%1　"/>
      <w:lvlJc w:val="left"/>
      <w:pPr>
        <w:ind w:left="141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lowerLetter"/>
      <w:suff w:val="nothing"/>
      <w:lvlText w:val="%3)"/>
      <w:lvlJc w:val="left"/>
      <w:pPr>
        <w:ind w:left="0" w:firstLine="0"/>
      </w:pPr>
      <w:rPr>
        <w:rFonts w:hint="eastAsia" w:ascii="Times New Roman" w:hAnsi="Times New Roman" w:eastAsia="宋体" w:cs="Times New Roman"/>
        <w:b w:val="0"/>
        <w:i w:val="0"/>
        <w:sz w:val="21"/>
      </w:rPr>
    </w:lvl>
    <w:lvl w:ilvl="3" w:tentative="0">
      <w:start w:val="1"/>
      <w:numFmt w:val="decimal"/>
      <w:suff w:val="nothing"/>
      <w:lvlText w:val="%1.%2.%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103"/>
      <w:suff w:val="space"/>
      <w:lvlText w:val="%1"/>
      <w:lvlJc w:val="left"/>
      <w:pPr>
        <w:ind w:left="623" w:hanging="425"/>
      </w:pPr>
      <w:rPr>
        <w:rFonts w:hint="eastAsia"/>
      </w:rPr>
    </w:lvl>
    <w:lvl w:ilvl="1" w:tentative="0">
      <w:start w:val="1"/>
      <w:numFmt w:val="decimal"/>
      <w:pStyle w:val="104"/>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53"/>
      <w:suff w:val="nothing"/>
      <w:lvlText w:val="%1——"/>
      <w:lvlJc w:val="left"/>
      <w:pPr>
        <w:ind w:left="833" w:hanging="408"/>
      </w:pPr>
      <w:rPr>
        <w:rFonts w:hint="eastAsia"/>
      </w:rPr>
    </w:lvl>
    <w:lvl w:ilvl="1" w:tentative="0">
      <w:start w:val="1"/>
      <w:numFmt w:val="bullet"/>
      <w:pStyle w:val="54"/>
      <w:lvlText w:val=""/>
      <w:lvlJc w:val="left"/>
      <w:pPr>
        <w:tabs>
          <w:tab w:val="left" w:pos="760"/>
        </w:tabs>
        <w:ind w:left="1264" w:hanging="413"/>
      </w:pPr>
      <w:rPr>
        <w:rFonts w:hint="default" w:ascii="Symbol" w:hAnsi="Symbol"/>
        <w:color w:val="auto"/>
      </w:rPr>
    </w:lvl>
    <w:lvl w:ilvl="2" w:tentative="0">
      <w:start w:val="1"/>
      <w:numFmt w:val="bullet"/>
      <w:pStyle w:val="6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30"/>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64"/>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59"/>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66"/>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1">
    <w:nsid w:val="4B733A5F"/>
    <w:multiLevelType w:val="multilevel"/>
    <w:tmpl w:val="4B733A5F"/>
    <w:lvl w:ilvl="0" w:tentative="0">
      <w:start w:val="1"/>
      <w:numFmt w:val="decimal"/>
      <w:pStyle w:val="6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3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91"/>
      <w:lvlText w:val="%1"/>
      <w:lvlJc w:val="left"/>
      <w:pPr>
        <w:tabs>
          <w:tab w:val="left" w:pos="0"/>
        </w:tabs>
        <w:ind w:left="0" w:hanging="425"/>
      </w:pPr>
      <w:rPr>
        <w:rFonts w:hint="eastAsia"/>
      </w:rPr>
    </w:lvl>
    <w:lvl w:ilvl="1" w:tentative="0">
      <w:start w:val="1"/>
      <w:numFmt w:val="decimal"/>
      <w:pStyle w:val="9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31"/>
      <w:suff w:val="nothing"/>
      <w:lvlText w:val="表%1　"/>
      <w:lvlJc w:val="left"/>
      <w:pPr>
        <w:ind w:left="2977" w:firstLine="0"/>
      </w:pPr>
      <w:rPr>
        <w:rFonts w:hint="eastAsia" w:ascii="黑体" w:hAnsi="Times New Roman" w:eastAsia="黑体"/>
        <w:b w:val="0"/>
        <w:i w:val="0"/>
        <w:sz w:val="21"/>
      </w:rPr>
    </w:lvl>
    <w:lvl w:ilvl="1" w:tentative="0">
      <w:start w:val="1"/>
      <w:numFmt w:val="decimal"/>
      <w:lvlText w:val="%1.%2"/>
      <w:lvlJc w:val="left"/>
      <w:pPr>
        <w:tabs>
          <w:tab w:val="left" w:pos="3969"/>
        </w:tabs>
        <w:ind w:left="3969" w:hanging="567"/>
      </w:pPr>
      <w:rPr>
        <w:rFonts w:hint="eastAsia"/>
      </w:rPr>
    </w:lvl>
    <w:lvl w:ilvl="2" w:tentative="0">
      <w:start w:val="1"/>
      <w:numFmt w:val="decimal"/>
      <w:lvlText w:val="%1.%2.%3"/>
      <w:lvlJc w:val="left"/>
      <w:pPr>
        <w:tabs>
          <w:tab w:val="left" w:pos="4395"/>
        </w:tabs>
        <w:ind w:left="4395" w:hanging="567"/>
      </w:pPr>
      <w:rPr>
        <w:rFonts w:hint="eastAsia"/>
      </w:rPr>
    </w:lvl>
    <w:lvl w:ilvl="3" w:tentative="0">
      <w:start w:val="1"/>
      <w:numFmt w:val="decimal"/>
      <w:lvlText w:val="%1.%2.%3.%4"/>
      <w:lvlJc w:val="left"/>
      <w:pPr>
        <w:tabs>
          <w:tab w:val="left" w:pos="4961"/>
        </w:tabs>
        <w:ind w:left="4961" w:hanging="708"/>
      </w:pPr>
      <w:rPr>
        <w:rFonts w:hint="eastAsia"/>
      </w:rPr>
    </w:lvl>
    <w:lvl w:ilvl="4" w:tentative="0">
      <w:start w:val="1"/>
      <w:numFmt w:val="decimal"/>
      <w:lvlText w:val="%1.%2.%3.%4.%5"/>
      <w:lvlJc w:val="left"/>
      <w:pPr>
        <w:tabs>
          <w:tab w:val="left" w:pos="5528"/>
        </w:tabs>
        <w:ind w:left="5528" w:hanging="850"/>
      </w:pPr>
      <w:rPr>
        <w:rFonts w:hint="eastAsia"/>
      </w:rPr>
    </w:lvl>
    <w:lvl w:ilvl="5" w:tentative="0">
      <w:start w:val="1"/>
      <w:numFmt w:val="decimal"/>
      <w:lvlText w:val="%1.%2.%3.%4.%5.%6"/>
      <w:lvlJc w:val="left"/>
      <w:pPr>
        <w:tabs>
          <w:tab w:val="left" w:pos="6237"/>
        </w:tabs>
        <w:ind w:left="6237" w:hanging="1134"/>
      </w:pPr>
      <w:rPr>
        <w:rFonts w:hint="eastAsia"/>
      </w:rPr>
    </w:lvl>
    <w:lvl w:ilvl="6" w:tentative="0">
      <w:start w:val="1"/>
      <w:numFmt w:val="decimal"/>
      <w:lvlText w:val="%1.%2.%3.%4.%5.%6.%7"/>
      <w:lvlJc w:val="left"/>
      <w:pPr>
        <w:tabs>
          <w:tab w:val="left" w:pos="6804"/>
        </w:tabs>
        <w:ind w:left="6804" w:hanging="1276"/>
      </w:pPr>
      <w:rPr>
        <w:rFonts w:hint="eastAsia"/>
      </w:rPr>
    </w:lvl>
    <w:lvl w:ilvl="7" w:tentative="0">
      <w:start w:val="1"/>
      <w:numFmt w:val="decimal"/>
      <w:lvlText w:val="%1.%2.%3.%4.%5.%6.%7.%8"/>
      <w:lvlJc w:val="left"/>
      <w:pPr>
        <w:tabs>
          <w:tab w:val="left" w:pos="7371"/>
        </w:tabs>
        <w:ind w:left="7371" w:hanging="1418"/>
      </w:pPr>
      <w:rPr>
        <w:rFonts w:hint="eastAsia"/>
      </w:rPr>
    </w:lvl>
    <w:lvl w:ilvl="8" w:tentative="0">
      <w:start w:val="1"/>
      <w:numFmt w:val="decimal"/>
      <w:lvlText w:val="%1.%2.%3.%4.%5.%6.%7.%8.%9"/>
      <w:lvlJc w:val="left"/>
      <w:pPr>
        <w:tabs>
          <w:tab w:val="left" w:pos="8079"/>
        </w:tabs>
        <w:ind w:left="8079" w:hanging="1700"/>
      </w:pPr>
      <w:rPr>
        <w:rFonts w:hint="eastAsia"/>
      </w:rPr>
    </w:lvl>
  </w:abstractNum>
  <w:abstractNum w:abstractNumId="15">
    <w:nsid w:val="657D3FBC"/>
    <w:multiLevelType w:val="multilevel"/>
    <w:tmpl w:val="657D3FBC"/>
    <w:lvl w:ilvl="0" w:tentative="0">
      <w:start w:val="1"/>
      <w:numFmt w:val="upperLetter"/>
      <w:pStyle w:val="8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93"/>
      <w:suff w:val="nothing"/>
      <w:lvlText w:val="%1.%2.%3.%4　"/>
      <w:lvlJc w:val="left"/>
      <w:pPr>
        <w:ind w:left="0" w:firstLine="0"/>
      </w:pPr>
      <w:rPr>
        <w:rFonts w:hint="eastAsia" w:ascii="黑体" w:hAnsi="Times New Roman" w:eastAsia="黑体"/>
        <w:b w:val="0"/>
        <w:i w:val="0"/>
        <w:sz w:val="21"/>
      </w:rPr>
    </w:lvl>
    <w:lvl w:ilvl="4" w:tentative="0">
      <w:start w:val="1"/>
      <w:numFmt w:val="decimal"/>
      <w:pStyle w:val="98"/>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10"/>
      <w:lvlText w:val="%1)"/>
      <w:lvlJc w:val="left"/>
      <w:pPr>
        <w:tabs>
          <w:tab w:val="left" w:pos="839"/>
        </w:tabs>
        <w:ind w:left="839" w:hanging="419"/>
      </w:pPr>
      <w:rPr>
        <w:rFonts w:hint="eastAsia" w:ascii="宋体" w:eastAsia="宋体"/>
        <w:b w:val="0"/>
        <w:i w:val="0"/>
        <w:sz w:val="21"/>
      </w:rPr>
    </w:lvl>
    <w:lvl w:ilvl="1" w:tentative="0">
      <w:start w:val="1"/>
      <w:numFmt w:val="decimal"/>
      <w:pStyle w:val="10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6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6"/>
  </w:num>
  <w:num w:numId="3">
    <w:abstractNumId w:val="8"/>
  </w:num>
  <w:num w:numId="4">
    <w:abstractNumId w:val="2"/>
  </w:num>
  <w:num w:numId="5">
    <w:abstractNumId w:val="10"/>
  </w:num>
  <w:num w:numId="6">
    <w:abstractNumId w:val="17"/>
  </w:num>
  <w:num w:numId="7">
    <w:abstractNumId w:val="0"/>
  </w:num>
  <w:num w:numId="8">
    <w:abstractNumId w:val="11"/>
  </w:num>
  <w:num w:numId="9">
    <w:abstractNumId w:val="5"/>
  </w:num>
  <w:num w:numId="10">
    <w:abstractNumId w:val="15"/>
  </w:num>
  <w:num w:numId="11">
    <w:abstractNumId w:val="13"/>
  </w:num>
  <w:num w:numId="12">
    <w:abstractNumId w:val="16"/>
  </w:num>
  <w:num w:numId="13">
    <w:abstractNumId w:val="7"/>
  </w:num>
  <w:num w:numId="14">
    <w:abstractNumId w:val="1"/>
  </w:num>
  <w:num w:numId="15">
    <w:abstractNumId w:val="3"/>
  </w:num>
  <w:num w:numId="16">
    <w:abstractNumId w:val="14"/>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dit="readOnly"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07E2"/>
    <w:rsid w:val="0000185F"/>
    <w:rsid w:val="00001AB5"/>
    <w:rsid w:val="00004D0F"/>
    <w:rsid w:val="0000586F"/>
    <w:rsid w:val="00007300"/>
    <w:rsid w:val="00010DBE"/>
    <w:rsid w:val="00013B9F"/>
    <w:rsid w:val="00013D86"/>
    <w:rsid w:val="00013E02"/>
    <w:rsid w:val="0002143C"/>
    <w:rsid w:val="00021FF2"/>
    <w:rsid w:val="000241B1"/>
    <w:rsid w:val="00025A65"/>
    <w:rsid w:val="00026C31"/>
    <w:rsid w:val="00027280"/>
    <w:rsid w:val="000320A7"/>
    <w:rsid w:val="00035925"/>
    <w:rsid w:val="00035E7C"/>
    <w:rsid w:val="000374B8"/>
    <w:rsid w:val="00044753"/>
    <w:rsid w:val="0004642E"/>
    <w:rsid w:val="00047407"/>
    <w:rsid w:val="00056CA9"/>
    <w:rsid w:val="00063A14"/>
    <w:rsid w:val="00065A5D"/>
    <w:rsid w:val="000661C1"/>
    <w:rsid w:val="00067CDF"/>
    <w:rsid w:val="00071469"/>
    <w:rsid w:val="00074FBE"/>
    <w:rsid w:val="00077D4E"/>
    <w:rsid w:val="000807A5"/>
    <w:rsid w:val="00083A09"/>
    <w:rsid w:val="00084125"/>
    <w:rsid w:val="0009005E"/>
    <w:rsid w:val="00092685"/>
    <w:rsid w:val="00092857"/>
    <w:rsid w:val="000A20A9"/>
    <w:rsid w:val="000A3A0A"/>
    <w:rsid w:val="000A48B1"/>
    <w:rsid w:val="000A5ACE"/>
    <w:rsid w:val="000B3143"/>
    <w:rsid w:val="000B4622"/>
    <w:rsid w:val="000C6B05"/>
    <w:rsid w:val="000C6DD6"/>
    <w:rsid w:val="000C73D4"/>
    <w:rsid w:val="000D3D4C"/>
    <w:rsid w:val="000D4F51"/>
    <w:rsid w:val="000D718B"/>
    <w:rsid w:val="000E0C46"/>
    <w:rsid w:val="000E1B2F"/>
    <w:rsid w:val="000E78AB"/>
    <w:rsid w:val="000F030C"/>
    <w:rsid w:val="000F129C"/>
    <w:rsid w:val="00101EB2"/>
    <w:rsid w:val="001056DE"/>
    <w:rsid w:val="0010674A"/>
    <w:rsid w:val="001124C0"/>
    <w:rsid w:val="0012535A"/>
    <w:rsid w:val="00130299"/>
    <w:rsid w:val="00130E43"/>
    <w:rsid w:val="00130F95"/>
    <w:rsid w:val="0013175F"/>
    <w:rsid w:val="0013537C"/>
    <w:rsid w:val="001371C7"/>
    <w:rsid w:val="0014251E"/>
    <w:rsid w:val="001512B4"/>
    <w:rsid w:val="00152A98"/>
    <w:rsid w:val="00152F4A"/>
    <w:rsid w:val="00154A6A"/>
    <w:rsid w:val="00156ED0"/>
    <w:rsid w:val="001620A5"/>
    <w:rsid w:val="0016452C"/>
    <w:rsid w:val="00164E53"/>
    <w:rsid w:val="001660A4"/>
    <w:rsid w:val="0016699D"/>
    <w:rsid w:val="001700B4"/>
    <w:rsid w:val="00171708"/>
    <w:rsid w:val="00173E8D"/>
    <w:rsid w:val="00175159"/>
    <w:rsid w:val="00176208"/>
    <w:rsid w:val="00176506"/>
    <w:rsid w:val="0018211B"/>
    <w:rsid w:val="00183E40"/>
    <w:rsid w:val="001840D3"/>
    <w:rsid w:val="00184507"/>
    <w:rsid w:val="001900F8"/>
    <w:rsid w:val="00191258"/>
    <w:rsid w:val="00192680"/>
    <w:rsid w:val="00193037"/>
    <w:rsid w:val="0019312E"/>
    <w:rsid w:val="00193A2C"/>
    <w:rsid w:val="001A06DB"/>
    <w:rsid w:val="001A288E"/>
    <w:rsid w:val="001B1E65"/>
    <w:rsid w:val="001B3F90"/>
    <w:rsid w:val="001B4471"/>
    <w:rsid w:val="001B6A14"/>
    <w:rsid w:val="001B6DC2"/>
    <w:rsid w:val="001C0716"/>
    <w:rsid w:val="001C0A4E"/>
    <w:rsid w:val="001C149C"/>
    <w:rsid w:val="001C21AC"/>
    <w:rsid w:val="001C4794"/>
    <w:rsid w:val="001C47BA"/>
    <w:rsid w:val="001C5098"/>
    <w:rsid w:val="001C59EA"/>
    <w:rsid w:val="001D0196"/>
    <w:rsid w:val="001D263B"/>
    <w:rsid w:val="001D406C"/>
    <w:rsid w:val="001D41EE"/>
    <w:rsid w:val="001D4898"/>
    <w:rsid w:val="001D75DD"/>
    <w:rsid w:val="001E0380"/>
    <w:rsid w:val="001E13B1"/>
    <w:rsid w:val="001E2057"/>
    <w:rsid w:val="001E5E43"/>
    <w:rsid w:val="001F3A19"/>
    <w:rsid w:val="001F4165"/>
    <w:rsid w:val="00202F08"/>
    <w:rsid w:val="00206B06"/>
    <w:rsid w:val="002103B7"/>
    <w:rsid w:val="00215DA8"/>
    <w:rsid w:val="00225A42"/>
    <w:rsid w:val="00234467"/>
    <w:rsid w:val="00237D8D"/>
    <w:rsid w:val="00241DA2"/>
    <w:rsid w:val="00245024"/>
    <w:rsid w:val="00247FEE"/>
    <w:rsid w:val="00250E7D"/>
    <w:rsid w:val="002521E8"/>
    <w:rsid w:val="0025347B"/>
    <w:rsid w:val="00253BC3"/>
    <w:rsid w:val="002565D5"/>
    <w:rsid w:val="00257D7A"/>
    <w:rsid w:val="002622C0"/>
    <w:rsid w:val="002623B9"/>
    <w:rsid w:val="00262461"/>
    <w:rsid w:val="00263DFF"/>
    <w:rsid w:val="00266903"/>
    <w:rsid w:val="00273E12"/>
    <w:rsid w:val="0027593C"/>
    <w:rsid w:val="002778AE"/>
    <w:rsid w:val="0028269A"/>
    <w:rsid w:val="00283590"/>
    <w:rsid w:val="00285D46"/>
    <w:rsid w:val="00286973"/>
    <w:rsid w:val="00294E70"/>
    <w:rsid w:val="002971CF"/>
    <w:rsid w:val="002973CF"/>
    <w:rsid w:val="002A1924"/>
    <w:rsid w:val="002A653B"/>
    <w:rsid w:val="002A7420"/>
    <w:rsid w:val="002A7FE6"/>
    <w:rsid w:val="002B0F12"/>
    <w:rsid w:val="002B1308"/>
    <w:rsid w:val="002B4554"/>
    <w:rsid w:val="002C3519"/>
    <w:rsid w:val="002C6982"/>
    <w:rsid w:val="002C72D8"/>
    <w:rsid w:val="002D11FA"/>
    <w:rsid w:val="002D3E43"/>
    <w:rsid w:val="002D6541"/>
    <w:rsid w:val="002E0DDF"/>
    <w:rsid w:val="002E2906"/>
    <w:rsid w:val="002E5635"/>
    <w:rsid w:val="002E64C3"/>
    <w:rsid w:val="002E6A2C"/>
    <w:rsid w:val="002E6BE3"/>
    <w:rsid w:val="002E6E5A"/>
    <w:rsid w:val="002E7BBF"/>
    <w:rsid w:val="002F0790"/>
    <w:rsid w:val="002F1C45"/>
    <w:rsid w:val="002F1D8C"/>
    <w:rsid w:val="002F21DA"/>
    <w:rsid w:val="002F28FB"/>
    <w:rsid w:val="002F3946"/>
    <w:rsid w:val="002F763C"/>
    <w:rsid w:val="00301F39"/>
    <w:rsid w:val="00303944"/>
    <w:rsid w:val="003042FB"/>
    <w:rsid w:val="00307CF3"/>
    <w:rsid w:val="0031409C"/>
    <w:rsid w:val="003206D0"/>
    <w:rsid w:val="00325926"/>
    <w:rsid w:val="00326F20"/>
    <w:rsid w:val="00327A8A"/>
    <w:rsid w:val="00330AB0"/>
    <w:rsid w:val="00334B2D"/>
    <w:rsid w:val="00336610"/>
    <w:rsid w:val="00336E8B"/>
    <w:rsid w:val="00343F73"/>
    <w:rsid w:val="00345060"/>
    <w:rsid w:val="00346F06"/>
    <w:rsid w:val="0035323B"/>
    <w:rsid w:val="00356B91"/>
    <w:rsid w:val="003609D2"/>
    <w:rsid w:val="003629C4"/>
    <w:rsid w:val="00363F22"/>
    <w:rsid w:val="00366FEC"/>
    <w:rsid w:val="00374588"/>
    <w:rsid w:val="003752D4"/>
    <w:rsid w:val="00375564"/>
    <w:rsid w:val="00376795"/>
    <w:rsid w:val="00383191"/>
    <w:rsid w:val="00386DED"/>
    <w:rsid w:val="00390356"/>
    <w:rsid w:val="003912E7"/>
    <w:rsid w:val="00393775"/>
    <w:rsid w:val="00393947"/>
    <w:rsid w:val="003966E6"/>
    <w:rsid w:val="0039670F"/>
    <w:rsid w:val="003A2275"/>
    <w:rsid w:val="003A3E6C"/>
    <w:rsid w:val="003A4CEB"/>
    <w:rsid w:val="003A6A4F"/>
    <w:rsid w:val="003A7088"/>
    <w:rsid w:val="003B00DF"/>
    <w:rsid w:val="003B1275"/>
    <w:rsid w:val="003B1778"/>
    <w:rsid w:val="003B7E02"/>
    <w:rsid w:val="003C11CB"/>
    <w:rsid w:val="003C75F3"/>
    <w:rsid w:val="003C78A3"/>
    <w:rsid w:val="003D2A06"/>
    <w:rsid w:val="003E1867"/>
    <w:rsid w:val="003E5729"/>
    <w:rsid w:val="003F1B10"/>
    <w:rsid w:val="003F35D3"/>
    <w:rsid w:val="003F4EE0"/>
    <w:rsid w:val="003F6085"/>
    <w:rsid w:val="003F65BE"/>
    <w:rsid w:val="003F73AC"/>
    <w:rsid w:val="00402153"/>
    <w:rsid w:val="00402FC1"/>
    <w:rsid w:val="00403177"/>
    <w:rsid w:val="004042B6"/>
    <w:rsid w:val="004053FB"/>
    <w:rsid w:val="0041403D"/>
    <w:rsid w:val="00422AEF"/>
    <w:rsid w:val="00425082"/>
    <w:rsid w:val="00426BF6"/>
    <w:rsid w:val="00431DEB"/>
    <w:rsid w:val="00437725"/>
    <w:rsid w:val="0044254F"/>
    <w:rsid w:val="004445E5"/>
    <w:rsid w:val="00446371"/>
    <w:rsid w:val="00446B29"/>
    <w:rsid w:val="00451E6C"/>
    <w:rsid w:val="00452439"/>
    <w:rsid w:val="00453F9A"/>
    <w:rsid w:val="00461681"/>
    <w:rsid w:val="004618D6"/>
    <w:rsid w:val="00471E91"/>
    <w:rsid w:val="00474675"/>
    <w:rsid w:val="0047470C"/>
    <w:rsid w:val="00475B1D"/>
    <w:rsid w:val="0047668E"/>
    <w:rsid w:val="00477B5C"/>
    <w:rsid w:val="00477CC4"/>
    <w:rsid w:val="0048082B"/>
    <w:rsid w:val="00484556"/>
    <w:rsid w:val="00486B88"/>
    <w:rsid w:val="004A35F9"/>
    <w:rsid w:val="004A55B2"/>
    <w:rsid w:val="004B24C1"/>
    <w:rsid w:val="004B78C5"/>
    <w:rsid w:val="004C12A1"/>
    <w:rsid w:val="004C292F"/>
    <w:rsid w:val="004D1D32"/>
    <w:rsid w:val="004D5378"/>
    <w:rsid w:val="004D7900"/>
    <w:rsid w:val="004E53F2"/>
    <w:rsid w:val="00501462"/>
    <w:rsid w:val="0050381A"/>
    <w:rsid w:val="00504116"/>
    <w:rsid w:val="00510280"/>
    <w:rsid w:val="00513D73"/>
    <w:rsid w:val="00514A43"/>
    <w:rsid w:val="005174E5"/>
    <w:rsid w:val="0052121B"/>
    <w:rsid w:val="00522246"/>
    <w:rsid w:val="00522393"/>
    <w:rsid w:val="00522620"/>
    <w:rsid w:val="00524C37"/>
    <w:rsid w:val="00525656"/>
    <w:rsid w:val="005258D3"/>
    <w:rsid w:val="00525F50"/>
    <w:rsid w:val="005261DC"/>
    <w:rsid w:val="00532C3D"/>
    <w:rsid w:val="00534A7B"/>
    <w:rsid w:val="00534C02"/>
    <w:rsid w:val="00536DC1"/>
    <w:rsid w:val="00540156"/>
    <w:rsid w:val="0054264B"/>
    <w:rsid w:val="00543786"/>
    <w:rsid w:val="00545497"/>
    <w:rsid w:val="0054713B"/>
    <w:rsid w:val="005511A4"/>
    <w:rsid w:val="005525CC"/>
    <w:rsid w:val="005533D7"/>
    <w:rsid w:val="005542B1"/>
    <w:rsid w:val="00554621"/>
    <w:rsid w:val="00561BCC"/>
    <w:rsid w:val="0056466B"/>
    <w:rsid w:val="0056630C"/>
    <w:rsid w:val="005703DE"/>
    <w:rsid w:val="0058464E"/>
    <w:rsid w:val="005879A1"/>
    <w:rsid w:val="0059515B"/>
    <w:rsid w:val="005A01CB"/>
    <w:rsid w:val="005A143F"/>
    <w:rsid w:val="005A58FF"/>
    <w:rsid w:val="005A5B9D"/>
    <w:rsid w:val="005A5EAF"/>
    <w:rsid w:val="005A64C0"/>
    <w:rsid w:val="005B1167"/>
    <w:rsid w:val="005B2CBC"/>
    <w:rsid w:val="005B3C11"/>
    <w:rsid w:val="005B47BD"/>
    <w:rsid w:val="005B696D"/>
    <w:rsid w:val="005B6BA3"/>
    <w:rsid w:val="005C0C6F"/>
    <w:rsid w:val="005C1C28"/>
    <w:rsid w:val="005C6DB5"/>
    <w:rsid w:val="005D29EB"/>
    <w:rsid w:val="005D498F"/>
    <w:rsid w:val="005D55BC"/>
    <w:rsid w:val="005D6542"/>
    <w:rsid w:val="005E1721"/>
    <w:rsid w:val="005E19E7"/>
    <w:rsid w:val="005E3286"/>
    <w:rsid w:val="005E7449"/>
    <w:rsid w:val="005F56A2"/>
    <w:rsid w:val="006062F2"/>
    <w:rsid w:val="006125AA"/>
    <w:rsid w:val="0061716C"/>
    <w:rsid w:val="00623415"/>
    <w:rsid w:val="006243A1"/>
    <w:rsid w:val="006275E1"/>
    <w:rsid w:val="00632CBC"/>
    <w:rsid w:val="00632E56"/>
    <w:rsid w:val="00635CBA"/>
    <w:rsid w:val="006363A6"/>
    <w:rsid w:val="0064338B"/>
    <w:rsid w:val="00646542"/>
    <w:rsid w:val="00650423"/>
    <w:rsid w:val="006504F4"/>
    <w:rsid w:val="00654BC9"/>
    <w:rsid w:val="006552FD"/>
    <w:rsid w:val="00662BEE"/>
    <w:rsid w:val="00663AF3"/>
    <w:rsid w:val="00664BD4"/>
    <w:rsid w:val="00666B6C"/>
    <w:rsid w:val="00667408"/>
    <w:rsid w:val="00672E55"/>
    <w:rsid w:val="00682682"/>
    <w:rsid w:val="00682702"/>
    <w:rsid w:val="00683775"/>
    <w:rsid w:val="00687706"/>
    <w:rsid w:val="00692368"/>
    <w:rsid w:val="00692AF1"/>
    <w:rsid w:val="006A0EA1"/>
    <w:rsid w:val="006A26E4"/>
    <w:rsid w:val="006A29AA"/>
    <w:rsid w:val="006A2EBC"/>
    <w:rsid w:val="006A5EA0"/>
    <w:rsid w:val="006A689C"/>
    <w:rsid w:val="006A783B"/>
    <w:rsid w:val="006A7B33"/>
    <w:rsid w:val="006B4E13"/>
    <w:rsid w:val="006B75DD"/>
    <w:rsid w:val="006C195E"/>
    <w:rsid w:val="006C6586"/>
    <w:rsid w:val="006C67E0"/>
    <w:rsid w:val="006C7ABA"/>
    <w:rsid w:val="006D0C7F"/>
    <w:rsid w:val="006D0D60"/>
    <w:rsid w:val="006D1122"/>
    <w:rsid w:val="006D18BF"/>
    <w:rsid w:val="006D3049"/>
    <w:rsid w:val="006D3C00"/>
    <w:rsid w:val="006D59B5"/>
    <w:rsid w:val="006E2BBC"/>
    <w:rsid w:val="006E3675"/>
    <w:rsid w:val="006E4A7F"/>
    <w:rsid w:val="00704DF6"/>
    <w:rsid w:val="0070651C"/>
    <w:rsid w:val="007132A3"/>
    <w:rsid w:val="0071342C"/>
    <w:rsid w:val="00716421"/>
    <w:rsid w:val="0072275C"/>
    <w:rsid w:val="00724EFB"/>
    <w:rsid w:val="007325C9"/>
    <w:rsid w:val="00735DF3"/>
    <w:rsid w:val="007419C3"/>
    <w:rsid w:val="007467A7"/>
    <w:rsid w:val="007469DD"/>
    <w:rsid w:val="0074741B"/>
    <w:rsid w:val="0074759E"/>
    <w:rsid w:val="007478EA"/>
    <w:rsid w:val="0075415C"/>
    <w:rsid w:val="007571E9"/>
    <w:rsid w:val="00761646"/>
    <w:rsid w:val="00761A52"/>
    <w:rsid w:val="00762A11"/>
    <w:rsid w:val="00762E41"/>
    <w:rsid w:val="00763502"/>
    <w:rsid w:val="00763701"/>
    <w:rsid w:val="007659D5"/>
    <w:rsid w:val="007674F4"/>
    <w:rsid w:val="00770B40"/>
    <w:rsid w:val="00771B4F"/>
    <w:rsid w:val="00772889"/>
    <w:rsid w:val="007743C6"/>
    <w:rsid w:val="00781456"/>
    <w:rsid w:val="007913AB"/>
    <w:rsid w:val="007914F7"/>
    <w:rsid w:val="00792211"/>
    <w:rsid w:val="007970F5"/>
    <w:rsid w:val="007A589E"/>
    <w:rsid w:val="007B1625"/>
    <w:rsid w:val="007B181C"/>
    <w:rsid w:val="007B706E"/>
    <w:rsid w:val="007B71EB"/>
    <w:rsid w:val="007C6205"/>
    <w:rsid w:val="007C686A"/>
    <w:rsid w:val="007C728E"/>
    <w:rsid w:val="007D03BD"/>
    <w:rsid w:val="007D2C53"/>
    <w:rsid w:val="007D3D60"/>
    <w:rsid w:val="007D4153"/>
    <w:rsid w:val="007D76C0"/>
    <w:rsid w:val="007E1980"/>
    <w:rsid w:val="007E1B26"/>
    <w:rsid w:val="007E287E"/>
    <w:rsid w:val="007E2926"/>
    <w:rsid w:val="007E4B76"/>
    <w:rsid w:val="007E5EA8"/>
    <w:rsid w:val="007F0CF1"/>
    <w:rsid w:val="007F12A5"/>
    <w:rsid w:val="007F4CF1"/>
    <w:rsid w:val="007F595D"/>
    <w:rsid w:val="007F758D"/>
    <w:rsid w:val="007F7D52"/>
    <w:rsid w:val="00805451"/>
    <w:rsid w:val="0080654C"/>
    <w:rsid w:val="008071C6"/>
    <w:rsid w:val="008113A8"/>
    <w:rsid w:val="00815996"/>
    <w:rsid w:val="00817A00"/>
    <w:rsid w:val="00822A62"/>
    <w:rsid w:val="00822B50"/>
    <w:rsid w:val="00835DB3"/>
    <w:rsid w:val="0083617B"/>
    <w:rsid w:val="008362AE"/>
    <w:rsid w:val="008371BD"/>
    <w:rsid w:val="008436D7"/>
    <w:rsid w:val="00844388"/>
    <w:rsid w:val="0084726E"/>
    <w:rsid w:val="0085030C"/>
    <w:rsid w:val="008504A8"/>
    <w:rsid w:val="00851F10"/>
    <w:rsid w:val="0085282E"/>
    <w:rsid w:val="008528F9"/>
    <w:rsid w:val="00855227"/>
    <w:rsid w:val="0085638C"/>
    <w:rsid w:val="00856CE7"/>
    <w:rsid w:val="00860456"/>
    <w:rsid w:val="00861E06"/>
    <w:rsid w:val="00864517"/>
    <w:rsid w:val="00866038"/>
    <w:rsid w:val="008668C4"/>
    <w:rsid w:val="0086720E"/>
    <w:rsid w:val="0086789C"/>
    <w:rsid w:val="0087198C"/>
    <w:rsid w:val="00872C1F"/>
    <w:rsid w:val="00873B42"/>
    <w:rsid w:val="00877169"/>
    <w:rsid w:val="00883F21"/>
    <w:rsid w:val="00884701"/>
    <w:rsid w:val="008856D8"/>
    <w:rsid w:val="00892E82"/>
    <w:rsid w:val="00893B34"/>
    <w:rsid w:val="00896987"/>
    <w:rsid w:val="008A0F7F"/>
    <w:rsid w:val="008A1036"/>
    <w:rsid w:val="008A4401"/>
    <w:rsid w:val="008B145E"/>
    <w:rsid w:val="008B1DEE"/>
    <w:rsid w:val="008B77B5"/>
    <w:rsid w:val="008C1B58"/>
    <w:rsid w:val="008C39AE"/>
    <w:rsid w:val="008C590D"/>
    <w:rsid w:val="008D574A"/>
    <w:rsid w:val="008E031B"/>
    <w:rsid w:val="008E3803"/>
    <w:rsid w:val="008E7029"/>
    <w:rsid w:val="008E7582"/>
    <w:rsid w:val="008E7EF6"/>
    <w:rsid w:val="008F1F98"/>
    <w:rsid w:val="008F6758"/>
    <w:rsid w:val="009040DD"/>
    <w:rsid w:val="00905B47"/>
    <w:rsid w:val="009072C1"/>
    <w:rsid w:val="0091331C"/>
    <w:rsid w:val="00916B4E"/>
    <w:rsid w:val="00921B1E"/>
    <w:rsid w:val="00922DC0"/>
    <w:rsid w:val="009279DE"/>
    <w:rsid w:val="00930116"/>
    <w:rsid w:val="00930ADC"/>
    <w:rsid w:val="009376D7"/>
    <w:rsid w:val="0094212C"/>
    <w:rsid w:val="009430CF"/>
    <w:rsid w:val="0094628D"/>
    <w:rsid w:val="00946290"/>
    <w:rsid w:val="00953424"/>
    <w:rsid w:val="009542D6"/>
    <w:rsid w:val="00954689"/>
    <w:rsid w:val="009617C9"/>
    <w:rsid w:val="00961C93"/>
    <w:rsid w:val="009639DB"/>
    <w:rsid w:val="00965324"/>
    <w:rsid w:val="00965CAB"/>
    <w:rsid w:val="0097091E"/>
    <w:rsid w:val="00971FCA"/>
    <w:rsid w:val="00973751"/>
    <w:rsid w:val="00973B08"/>
    <w:rsid w:val="009760D3"/>
    <w:rsid w:val="00977132"/>
    <w:rsid w:val="009818F1"/>
    <w:rsid w:val="00981A4B"/>
    <w:rsid w:val="00982501"/>
    <w:rsid w:val="009877D3"/>
    <w:rsid w:val="00990F95"/>
    <w:rsid w:val="00994E8F"/>
    <w:rsid w:val="009951DC"/>
    <w:rsid w:val="009959BB"/>
    <w:rsid w:val="00997158"/>
    <w:rsid w:val="009A3A7C"/>
    <w:rsid w:val="009A5FEA"/>
    <w:rsid w:val="009B0350"/>
    <w:rsid w:val="009B2ADB"/>
    <w:rsid w:val="009B470A"/>
    <w:rsid w:val="009B603A"/>
    <w:rsid w:val="009C1492"/>
    <w:rsid w:val="009C217B"/>
    <w:rsid w:val="009C2D0E"/>
    <w:rsid w:val="009C3DAC"/>
    <w:rsid w:val="009C4230"/>
    <w:rsid w:val="009C42E0"/>
    <w:rsid w:val="009D2E80"/>
    <w:rsid w:val="009D5362"/>
    <w:rsid w:val="009E0CB4"/>
    <w:rsid w:val="009E0E0A"/>
    <w:rsid w:val="009E1415"/>
    <w:rsid w:val="009E3F2A"/>
    <w:rsid w:val="009E6116"/>
    <w:rsid w:val="009F0663"/>
    <w:rsid w:val="009F31D7"/>
    <w:rsid w:val="00A00599"/>
    <w:rsid w:val="00A02E43"/>
    <w:rsid w:val="00A065F9"/>
    <w:rsid w:val="00A07F34"/>
    <w:rsid w:val="00A1090F"/>
    <w:rsid w:val="00A15003"/>
    <w:rsid w:val="00A22154"/>
    <w:rsid w:val="00A2526C"/>
    <w:rsid w:val="00A25C38"/>
    <w:rsid w:val="00A36BBE"/>
    <w:rsid w:val="00A3760F"/>
    <w:rsid w:val="00A428F4"/>
    <w:rsid w:val="00A4307A"/>
    <w:rsid w:val="00A440AD"/>
    <w:rsid w:val="00A47EBB"/>
    <w:rsid w:val="00A5146B"/>
    <w:rsid w:val="00A51CDD"/>
    <w:rsid w:val="00A6511D"/>
    <w:rsid w:val="00A65297"/>
    <w:rsid w:val="00A6730D"/>
    <w:rsid w:val="00A67774"/>
    <w:rsid w:val="00A71625"/>
    <w:rsid w:val="00A71B9B"/>
    <w:rsid w:val="00A7371F"/>
    <w:rsid w:val="00A751C7"/>
    <w:rsid w:val="00A8439C"/>
    <w:rsid w:val="00A87844"/>
    <w:rsid w:val="00A9185B"/>
    <w:rsid w:val="00A9624D"/>
    <w:rsid w:val="00AA038C"/>
    <w:rsid w:val="00AA1E6B"/>
    <w:rsid w:val="00AA7A09"/>
    <w:rsid w:val="00AB23ED"/>
    <w:rsid w:val="00AB3B50"/>
    <w:rsid w:val="00AB3D31"/>
    <w:rsid w:val="00AB43D9"/>
    <w:rsid w:val="00AB554E"/>
    <w:rsid w:val="00AB5B41"/>
    <w:rsid w:val="00AC05B1"/>
    <w:rsid w:val="00AC05BB"/>
    <w:rsid w:val="00AC0E8E"/>
    <w:rsid w:val="00AC1DC7"/>
    <w:rsid w:val="00AC22CF"/>
    <w:rsid w:val="00AD047B"/>
    <w:rsid w:val="00AD356C"/>
    <w:rsid w:val="00AE2914"/>
    <w:rsid w:val="00AE6D15"/>
    <w:rsid w:val="00AF0212"/>
    <w:rsid w:val="00AF5408"/>
    <w:rsid w:val="00AF5738"/>
    <w:rsid w:val="00AF651D"/>
    <w:rsid w:val="00B01CD0"/>
    <w:rsid w:val="00B04182"/>
    <w:rsid w:val="00B07AE3"/>
    <w:rsid w:val="00B10376"/>
    <w:rsid w:val="00B11430"/>
    <w:rsid w:val="00B12E87"/>
    <w:rsid w:val="00B211F2"/>
    <w:rsid w:val="00B2482D"/>
    <w:rsid w:val="00B2502B"/>
    <w:rsid w:val="00B25256"/>
    <w:rsid w:val="00B353EB"/>
    <w:rsid w:val="00B4189E"/>
    <w:rsid w:val="00B41D06"/>
    <w:rsid w:val="00B435CF"/>
    <w:rsid w:val="00B43750"/>
    <w:rsid w:val="00B439C4"/>
    <w:rsid w:val="00B4535E"/>
    <w:rsid w:val="00B50C3E"/>
    <w:rsid w:val="00B52A8C"/>
    <w:rsid w:val="00B55390"/>
    <w:rsid w:val="00B56841"/>
    <w:rsid w:val="00B62D47"/>
    <w:rsid w:val="00B636A8"/>
    <w:rsid w:val="00B665C6"/>
    <w:rsid w:val="00B805AF"/>
    <w:rsid w:val="00B81F1D"/>
    <w:rsid w:val="00B84FF5"/>
    <w:rsid w:val="00B869EC"/>
    <w:rsid w:val="00B87864"/>
    <w:rsid w:val="00B908F6"/>
    <w:rsid w:val="00B9397A"/>
    <w:rsid w:val="00B9633D"/>
    <w:rsid w:val="00BA1C14"/>
    <w:rsid w:val="00BA2D3A"/>
    <w:rsid w:val="00BA2EBE"/>
    <w:rsid w:val="00BA4CD5"/>
    <w:rsid w:val="00BA5290"/>
    <w:rsid w:val="00BB0F28"/>
    <w:rsid w:val="00BB458A"/>
    <w:rsid w:val="00BB6D62"/>
    <w:rsid w:val="00BB77E6"/>
    <w:rsid w:val="00BB7EF5"/>
    <w:rsid w:val="00BC3B02"/>
    <w:rsid w:val="00BC5A89"/>
    <w:rsid w:val="00BC6E96"/>
    <w:rsid w:val="00BD00D3"/>
    <w:rsid w:val="00BD1659"/>
    <w:rsid w:val="00BD23DF"/>
    <w:rsid w:val="00BD3AA9"/>
    <w:rsid w:val="00BD4A18"/>
    <w:rsid w:val="00BD6DB2"/>
    <w:rsid w:val="00BE0297"/>
    <w:rsid w:val="00BE0CEB"/>
    <w:rsid w:val="00BE11CF"/>
    <w:rsid w:val="00BE21AB"/>
    <w:rsid w:val="00BE3019"/>
    <w:rsid w:val="00BE55CB"/>
    <w:rsid w:val="00BF0278"/>
    <w:rsid w:val="00BF320C"/>
    <w:rsid w:val="00BF617A"/>
    <w:rsid w:val="00C02180"/>
    <w:rsid w:val="00C026BF"/>
    <w:rsid w:val="00C03682"/>
    <w:rsid w:val="00C0379D"/>
    <w:rsid w:val="00C03931"/>
    <w:rsid w:val="00C05FE3"/>
    <w:rsid w:val="00C11A7B"/>
    <w:rsid w:val="00C120E2"/>
    <w:rsid w:val="00C12960"/>
    <w:rsid w:val="00C2136D"/>
    <w:rsid w:val="00C214EE"/>
    <w:rsid w:val="00C2314B"/>
    <w:rsid w:val="00C24971"/>
    <w:rsid w:val="00C25CCC"/>
    <w:rsid w:val="00C26BE5"/>
    <w:rsid w:val="00C26E4D"/>
    <w:rsid w:val="00C27909"/>
    <w:rsid w:val="00C27B03"/>
    <w:rsid w:val="00C314E1"/>
    <w:rsid w:val="00C34017"/>
    <w:rsid w:val="00C34397"/>
    <w:rsid w:val="00C36919"/>
    <w:rsid w:val="00C4095D"/>
    <w:rsid w:val="00C47A29"/>
    <w:rsid w:val="00C5029F"/>
    <w:rsid w:val="00C516D1"/>
    <w:rsid w:val="00C570FA"/>
    <w:rsid w:val="00C601D2"/>
    <w:rsid w:val="00C63C5C"/>
    <w:rsid w:val="00C65657"/>
    <w:rsid w:val="00C65BCC"/>
    <w:rsid w:val="00C66449"/>
    <w:rsid w:val="00C66970"/>
    <w:rsid w:val="00C71F53"/>
    <w:rsid w:val="00C73653"/>
    <w:rsid w:val="00C8012B"/>
    <w:rsid w:val="00C80431"/>
    <w:rsid w:val="00C8691C"/>
    <w:rsid w:val="00C9470E"/>
    <w:rsid w:val="00C97C6C"/>
    <w:rsid w:val="00CA168A"/>
    <w:rsid w:val="00CA357E"/>
    <w:rsid w:val="00CA44F9"/>
    <w:rsid w:val="00CA4A69"/>
    <w:rsid w:val="00CA706D"/>
    <w:rsid w:val="00CC3E0C"/>
    <w:rsid w:val="00CC54B3"/>
    <w:rsid w:val="00CC58D3"/>
    <w:rsid w:val="00CC63FD"/>
    <w:rsid w:val="00CC6EDC"/>
    <w:rsid w:val="00CC784D"/>
    <w:rsid w:val="00CD09E8"/>
    <w:rsid w:val="00CE4C5E"/>
    <w:rsid w:val="00CF789F"/>
    <w:rsid w:val="00D0337B"/>
    <w:rsid w:val="00D0512E"/>
    <w:rsid w:val="00D079B2"/>
    <w:rsid w:val="00D1088F"/>
    <w:rsid w:val="00D114E9"/>
    <w:rsid w:val="00D17587"/>
    <w:rsid w:val="00D265BE"/>
    <w:rsid w:val="00D27CE4"/>
    <w:rsid w:val="00D27FA1"/>
    <w:rsid w:val="00D3457C"/>
    <w:rsid w:val="00D34E97"/>
    <w:rsid w:val="00D36494"/>
    <w:rsid w:val="00D41D40"/>
    <w:rsid w:val="00D429C6"/>
    <w:rsid w:val="00D43FB5"/>
    <w:rsid w:val="00D473E2"/>
    <w:rsid w:val="00D47748"/>
    <w:rsid w:val="00D47B8B"/>
    <w:rsid w:val="00D53BC0"/>
    <w:rsid w:val="00D54CC3"/>
    <w:rsid w:val="00D57C71"/>
    <w:rsid w:val="00D6041A"/>
    <w:rsid w:val="00D624CA"/>
    <w:rsid w:val="00D62D70"/>
    <w:rsid w:val="00D633EB"/>
    <w:rsid w:val="00D63626"/>
    <w:rsid w:val="00D65937"/>
    <w:rsid w:val="00D665C3"/>
    <w:rsid w:val="00D70A21"/>
    <w:rsid w:val="00D7130A"/>
    <w:rsid w:val="00D82FF7"/>
    <w:rsid w:val="00D8353D"/>
    <w:rsid w:val="00D847FE"/>
    <w:rsid w:val="00D9006F"/>
    <w:rsid w:val="00D914D2"/>
    <w:rsid w:val="00D94DC7"/>
    <w:rsid w:val="00D964EA"/>
    <w:rsid w:val="00D966D0"/>
    <w:rsid w:val="00D97ABE"/>
    <w:rsid w:val="00DA0C59"/>
    <w:rsid w:val="00DA0FBF"/>
    <w:rsid w:val="00DA3991"/>
    <w:rsid w:val="00DA3F64"/>
    <w:rsid w:val="00DA7296"/>
    <w:rsid w:val="00DB7E6C"/>
    <w:rsid w:val="00DC6A69"/>
    <w:rsid w:val="00DD0181"/>
    <w:rsid w:val="00DD5A29"/>
    <w:rsid w:val="00DD5D9D"/>
    <w:rsid w:val="00DD72E4"/>
    <w:rsid w:val="00DD7416"/>
    <w:rsid w:val="00DE09AE"/>
    <w:rsid w:val="00DE35CB"/>
    <w:rsid w:val="00DE73A7"/>
    <w:rsid w:val="00DF1F2D"/>
    <w:rsid w:val="00DF21E9"/>
    <w:rsid w:val="00DF2CE3"/>
    <w:rsid w:val="00DF456B"/>
    <w:rsid w:val="00E00F14"/>
    <w:rsid w:val="00E0617D"/>
    <w:rsid w:val="00E06386"/>
    <w:rsid w:val="00E24EB4"/>
    <w:rsid w:val="00E27ED8"/>
    <w:rsid w:val="00E320ED"/>
    <w:rsid w:val="00E33AFB"/>
    <w:rsid w:val="00E34218"/>
    <w:rsid w:val="00E46282"/>
    <w:rsid w:val="00E47548"/>
    <w:rsid w:val="00E5216E"/>
    <w:rsid w:val="00E53DAE"/>
    <w:rsid w:val="00E6165A"/>
    <w:rsid w:val="00E63981"/>
    <w:rsid w:val="00E6586E"/>
    <w:rsid w:val="00E77AE1"/>
    <w:rsid w:val="00E82344"/>
    <w:rsid w:val="00E84C82"/>
    <w:rsid w:val="00E84D64"/>
    <w:rsid w:val="00E86629"/>
    <w:rsid w:val="00E87408"/>
    <w:rsid w:val="00E914C4"/>
    <w:rsid w:val="00E934F5"/>
    <w:rsid w:val="00E963F2"/>
    <w:rsid w:val="00E967DC"/>
    <w:rsid w:val="00E96961"/>
    <w:rsid w:val="00EA1857"/>
    <w:rsid w:val="00EA3445"/>
    <w:rsid w:val="00EA3925"/>
    <w:rsid w:val="00EA4E3D"/>
    <w:rsid w:val="00EA72EC"/>
    <w:rsid w:val="00EB11CB"/>
    <w:rsid w:val="00EB275A"/>
    <w:rsid w:val="00EB786A"/>
    <w:rsid w:val="00EC1578"/>
    <w:rsid w:val="00EC167D"/>
    <w:rsid w:val="00EC1C72"/>
    <w:rsid w:val="00EC3CC9"/>
    <w:rsid w:val="00EC4984"/>
    <w:rsid w:val="00EC680A"/>
    <w:rsid w:val="00ED45D9"/>
    <w:rsid w:val="00ED6823"/>
    <w:rsid w:val="00ED6B96"/>
    <w:rsid w:val="00EE2BED"/>
    <w:rsid w:val="00EE374B"/>
    <w:rsid w:val="00EE4F53"/>
    <w:rsid w:val="00EE559D"/>
    <w:rsid w:val="00EE61A4"/>
    <w:rsid w:val="00F11BB5"/>
    <w:rsid w:val="00F1417B"/>
    <w:rsid w:val="00F21718"/>
    <w:rsid w:val="00F34B99"/>
    <w:rsid w:val="00F3678B"/>
    <w:rsid w:val="00F41722"/>
    <w:rsid w:val="00F43658"/>
    <w:rsid w:val="00F46E0A"/>
    <w:rsid w:val="00F52063"/>
    <w:rsid w:val="00F52BE5"/>
    <w:rsid w:val="00F52DAB"/>
    <w:rsid w:val="00F53CD8"/>
    <w:rsid w:val="00F543F0"/>
    <w:rsid w:val="00F63E65"/>
    <w:rsid w:val="00F67A7B"/>
    <w:rsid w:val="00F740FA"/>
    <w:rsid w:val="00F81C47"/>
    <w:rsid w:val="00F81D29"/>
    <w:rsid w:val="00F842E4"/>
    <w:rsid w:val="00F87801"/>
    <w:rsid w:val="00F91C4D"/>
    <w:rsid w:val="00F92FD9"/>
    <w:rsid w:val="00F954E6"/>
    <w:rsid w:val="00F95B33"/>
    <w:rsid w:val="00FA22F4"/>
    <w:rsid w:val="00FA6684"/>
    <w:rsid w:val="00FA731E"/>
    <w:rsid w:val="00FA75D9"/>
    <w:rsid w:val="00FA7D06"/>
    <w:rsid w:val="00FB1C78"/>
    <w:rsid w:val="00FB2B38"/>
    <w:rsid w:val="00FB3A82"/>
    <w:rsid w:val="00FB6530"/>
    <w:rsid w:val="00FC005D"/>
    <w:rsid w:val="00FC2D89"/>
    <w:rsid w:val="00FC4FE7"/>
    <w:rsid w:val="00FC6358"/>
    <w:rsid w:val="00FD320D"/>
    <w:rsid w:val="00FD5189"/>
    <w:rsid w:val="00FE23DE"/>
    <w:rsid w:val="00FE597D"/>
    <w:rsid w:val="00FE7CA9"/>
    <w:rsid w:val="00FF20FF"/>
    <w:rsid w:val="00FF31AB"/>
    <w:rsid w:val="00FF7DA3"/>
    <w:rsid w:val="01A17C21"/>
    <w:rsid w:val="03CD5C32"/>
    <w:rsid w:val="04CA3FD2"/>
    <w:rsid w:val="0510215A"/>
    <w:rsid w:val="07A92AD5"/>
    <w:rsid w:val="08F24049"/>
    <w:rsid w:val="09355424"/>
    <w:rsid w:val="0CE61874"/>
    <w:rsid w:val="0DF06BAA"/>
    <w:rsid w:val="0FD834B1"/>
    <w:rsid w:val="11FE13FB"/>
    <w:rsid w:val="13493D3E"/>
    <w:rsid w:val="14217214"/>
    <w:rsid w:val="14CB7518"/>
    <w:rsid w:val="14FE2B55"/>
    <w:rsid w:val="15685F9E"/>
    <w:rsid w:val="171C48A7"/>
    <w:rsid w:val="17406B3C"/>
    <w:rsid w:val="1C93284A"/>
    <w:rsid w:val="210015CD"/>
    <w:rsid w:val="21043989"/>
    <w:rsid w:val="222A4D26"/>
    <w:rsid w:val="23743350"/>
    <w:rsid w:val="24FB0B53"/>
    <w:rsid w:val="257A326B"/>
    <w:rsid w:val="26CB13FC"/>
    <w:rsid w:val="2A957B49"/>
    <w:rsid w:val="30370038"/>
    <w:rsid w:val="31AF7AB8"/>
    <w:rsid w:val="331C766D"/>
    <w:rsid w:val="337834E7"/>
    <w:rsid w:val="38887F66"/>
    <w:rsid w:val="3D243FFC"/>
    <w:rsid w:val="3ED5008A"/>
    <w:rsid w:val="3F240D8F"/>
    <w:rsid w:val="40DC4EC1"/>
    <w:rsid w:val="41F103DD"/>
    <w:rsid w:val="43515ACC"/>
    <w:rsid w:val="465412A5"/>
    <w:rsid w:val="47670F0F"/>
    <w:rsid w:val="4B217A11"/>
    <w:rsid w:val="4BBB1382"/>
    <w:rsid w:val="4BD67C27"/>
    <w:rsid w:val="4C6A76F8"/>
    <w:rsid w:val="516B20A1"/>
    <w:rsid w:val="52FA2E59"/>
    <w:rsid w:val="591E63FE"/>
    <w:rsid w:val="5A0C3323"/>
    <w:rsid w:val="5BA162EB"/>
    <w:rsid w:val="5F270DBC"/>
    <w:rsid w:val="637E3F23"/>
    <w:rsid w:val="63DD2A65"/>
    <w:rsid w:val="65172930"/>
    <w:rsid w:val="68C049C2"/>
    <w:rsid w:val="6966511D"/>
    <w:rsid w:val="6EC6127B"/>
    <w:rsid w:val="6FB20503"/>
    <w:rsid w:val="747B6F0F"/>
    <w:rsid w:val="785E4220"/>
    <w:rsid w:val="78766DFD"/>
    <w:rsid w:val="7A470F4D"/>
    <w:rsid w:val="7BEE7355"/>
    <w:rsid w:val="7CE06526"/>
    <w:rsid w:val="7D5341C9"/>
    <w:rsid w:val="7E946CB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35"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99"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0"/>
    <w:qFormat/>
    <w:uiPriority w:val="9"/>
    <w:pPr>
      <w:keepNext/>
      <w:keepLines/>
      <w:spacing w:before="260" w:after="260" w:line="416" w:lineRule="auto"/>
      <w:jc w:val="left"/>
      <w:outlineLvl w:val="1"/>
    </w:pPr>
    <w:rPr>
      <w:rFonts w:ascii="Cambria" w:hAnsi="Cambria"/>
      <w:b/>
      <w:bCs/>
      <w:color w:val="000000"/>
      <w:kern w:val="0"/>
      <w:sz w:val="32"/>
      <w:szCs w:val="32"/>
      <w:lang w:eastAsia="en-US"/>
    </w:rPr>
  </w:style>
  <w:style w:type="paragraph" w:styleId="4">
    <w:name w:val="heading 3"/>
    <w:basedOn w:val="1"/>
    <w:next w:val="1"/>
    <w:link w:val="151"/>
    <w:qFormat/>
    <w:uiPriority w:val="9"/>
    <w:pPr>
      <w:keepNext/>
      <w:keepLines/>
      <w:spacing w:before="260" w:after="260" w:line="416" w:lineRule="auto"/>
      <w:jc w:val="left"/>
      <w:outlineLvl w:val="2"/>
    </w:pPr>
    <w:rPr>
      <w:rFonts w:ascii="MingLiU_HKSCS" w:hAnsi="MingLiU_HKSCS" w:eastAsia="MingLiU_HKSCS" w:cs="MingLiU_HKSCS"/>
      <w:b/>
      <w:bCs/>
      <w:color w:val="000000"/>
      <w:kern w:val="0"/>
      <w:sz w:val="32"/>
      <w:szCs w:val="32"/>
      <w:lang w:eastAsia="en-US"/>
    </w:rPr>
  </w:style>
  <w:style w:type="character" w:default="1" w:styleId="37">
    <w:name w:val="Default Paragraph Font"/>
    <w:unhideWhenUsed/>
    <w:qFormat/>
    <w:uiPriority w:val="1"/>
  </w:style>
  <w:style w:type="table" w:default="1" w:styleId="44">
    <w:name w:val="Normal Table"/>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217"/>
    <w:unhideWhenUsed/>
    <w:qFormat/>
    <w:uiPriority w:val="99"/>
    <w:rPr>
      <w:b/>
      <w:bCs/>
    </w:rPr>
  </w:style>
  <w:style w:type="paragraph" w:styleId="6">
    <w:name w:val="annotation text"/>
    <w:basedOn w:val="1"/>
    <w:link w:val="216"/>
    <w:unhideWhenUsed/>
    <w:qFormat/>
    <w:uiPriority w:val="99"/>
    <w:pPr>
      <w:jc w:val="left"/>
    </w:pPr>
    <w:rPr>
      <w:rFonts w:ascii="MingLiU_HKSCS" w:hAnsi="MingLiU_HKSCS" w:eastAsia="MingLiU_HKSCS" w:cs="MingLiU_HKSCS"/>
      <w:color w:val="000000"/>
      <w:kern w:val="0"/>
      <w:sz w:val="24"/>
      <w:lang w:eastAsia="en-US"/>
    </w:rPr>
  </w:style>
  <w:style w:type="paragraph" w:styleId="7">
    <w:name w:val="toc 7"/>
    <w:basedOn w:val="1"/>
    <w:next w:val="1"/>
    <w:semiHidden/>
    <w:qFormat/>
    <w:uiPriority w:val="0"/>
    <w:pPr>
      <w:tabs>
        <w:tab w:val="right" w:leader="dot" w:pos="9241"/>
      </w:tabs>
      <w:ind w:firstLine="500" w:firstLineChars="500"/>
      <w:jc w:val="left"/>
    </w:pPr>
    <w:rPr>
      <w:rFonts w:ascii="宋体"/>
      <w:szCs w:val="21"/>
    </w:rPr>
  </w:style>
  <w:style w:type="paragraph" w:styleId="8">
    <w:name w:val="index 8"/>
    <w:basedOn w:val="1"/>
    <w:next w:val="1"/>
    <w:qFormat/>
    <w:uiPriority w:val="0"/>
    <w:pPr>
      <w:ind w:left="1680" w:hanging="210"/>
      <w:jc w:val="left"/>
    </w:pPr>
    <w:rPr>
      <w:rFonts w:ascii="Calibri" w:hAnsi="Calibri"/>
      <w:sz w:val="20"/>
      <w:szCs w:val="20"/>
    </w:rPr>
  </w:style>
  <w:style w:type="paragraph" w:styleId="9">
    <w:name w:val="Normal Indent"/>
    <w:basedOn w:val="1"/>
    <w:qFormat/>
    <w:uiPriority w:val="0"/>
    <w:pPr>
      <w:ind w:firstLine="420"/>
    </w:pPr>
    <w:rPr>
      <w:szCs w:val="20"/>
    </w:rPr>
  </w:style>
  <w:style w:type="paragraph" w:styleId="10">
    <w:name w:val="caption"/>
    <w:basedOn w:val="1"/>
    <w:next w:val="1"/>
    <w:qFormat/>
    <w:uiPriority w:val="35"/>
    <w:pPr>
      <w:spacing w:before="152" w:after="160"/>
    </w:pPr>
    <w:rPr>
      <w:rFonts w:ascii="Arial" w:hAnsi="Arial" w:eastAsia="黑体" w:cs="Arial"/>
      <w:sz w:val="20"/>
      <w:szCs w:val="20"/>
    </w:rPr>
  </w:style>
  <w:style w:type="paragraph" w:styleId="11">
    <w:name w:val="index 5"/>
    <w:basedOn w:val="1"/>
    <w:next w:val="1"/>
    <w:qFormat/>
    <w:uiPriority w:val="0"/>
    <w:pPr>
      <w:ind w:left="1050" w:hanging="210"/>
      <w:jc w:val="left"/>
    </w:pPr>
    <w:rPr>
      <w:rFonts w:ascii="Calibri" w:hAnsi="Calibri"/>
      <w:sz w:val="20"/>
      <w:szCs w:val="20"/>
    </w:rPr>
  </w:style>
  <w:style w:type="paragraph" w:styleId="12">
    <w:name w:val="Document Map"/>
    <w:basedOn w:val="1"/>
    <w:semiHidden/>
    <w:qFormat/>
    <w:uiPriority w:val="0"/>
    <w:pPr>
      <w:shd w:val="clear" w:color="auto" w:fill="000080"/>
    </w:pPr>
  </w:style>
  <w:style w:type="paragraph" w:styleId="13">
    <w:name w:val="index 6"/>
    <w:basedOn w:val="1"/>
    <w:next w:val="1"/>
    <w:qFormat/>
    <w:uiPriority w:val="0"/>
    <w:pPr>
      <w:ind w:left="1260" w:hanging="210"/>
      <w:jc w:val="left"/>
    </w:pPr>
    <w:rPr>
      <w:rFonts w:ascii="Calibri" w:hAnsi="Calibri"/>
      <w:sz w:val="20"/>
      <w:szCs w:val="20"/>
    </w:rPr>
  </w:style>
  <w:style w:type="paragraph" w:styleId="14">
    <w:name w:val="Body Text"/>
    <w:basedOn w:val="1"/>
    <w:link w:val="147"/>
    <w:qFormat/>
    <w:uiPriority w:val="1"/>
    <w:pPr>
      <w:autoSpaceDE w:val="0"/>
      <w:autoSpaceDN w:val="0"/>
      <w:adjustRightInd w:val="0"/>
      <w:ind w:left="475"/>
      <w:jc w:val="left"/>
    </w:pPr>
    <w:rPr>
      <w:rFonts w:ascii="Arial" w:hAnsi="Arial" w:cs="Arial"/>
      <w:kern w:val="0"/>
      <w:sz w:val="20"/>
      <w:szCs w:val="20"/>
    </w:rPr>
  </w:style>
  <w:style w:type="paragraph" w:styleId="15">
    <w:name w:val="index 4"/>
    <w:basedOn w:val="1"/>
    <w:next w:val="1"/>
    <w:qFormat/>
    <w:uiPriority w:val="0"/>
    <w:pPr>
      <w:ind w:left="840" w:hanging="210"/>
      <w:jc w:val="left"/>
    </w:pPr>
    <w:rPr>
      <w:rFonts w:ascii="Calibri" w:hAnsi="Calibri"/>
      <w:sz w:val="20"/>
      <w:szCs w:val="20"/>
    </w:rPr>
  </w:style>
  <w:style w:type="paragraph" w:styleId="16">
    <w:name w:val="toc 5"/>
    <w:basedOn w:val="1"/>
    <w:next w:val="1"/>
    <w:semiHidden/>
    <w:qFormat/>
    <w:uiPriority w:val="0"/>
    <w:pPr>
      <w:tabs>
        <w:tab w:val="right" w:leader="dot" w:pos="9241"/>
      </w:tabs>
      <w:ind w:firstLine="300" w:firstLineChars="300"/>
      <w:jc w:val="left"/>
    </w:pPr>
    <w:rPr>
      <w:rFonts w:ascii="宋体"/>
      <w:szCs w:val="21"/>
    </w:rPr>
  </w:style>
  <w:style w:type="paragraph" w:styleId="17">
    <w:name w:val="toc 3"/>
    <w:basedOn w:val="1"/>
    <w:next w:val="1"/>
    <w:qFormat/>
    <w:uiPriority w:val="39"/>
    <w:pPr>
      <w:tabs>
        <w:tab w:val="right" w:leader="dot" w:pos="9241"/>
      </w:tabs>
      <w:ind w:firstLine="100" w:firstLineChars="100"/>
      <w:jc w:val="left"/>
    </w:pPr>
    <w:rPr>
      <w:rFonts w:ascii="宋体"/>
      <w:szCs w:val="21"/>
    </w:rPr>
  </w:style>
  <w:style w:type="paragraph" w:styleId="18">
    <w:name w:val="Plain Text"/>
    <w:basedOn w:val="1"/>
    <w:link w:val="144"/>
    <w:qFormat/>
    <w:uiPriority w:val="0"/>
    <w:rPr>
      <w:rFonts w:ascii="宋体" w:hAnsi="Courier New"/>
      <w:szCs w:val="20"/>
    </w:rPr>
  </w:style>
  <w:style w:type="paragraph" w:styleId="19">
    <w:name w:val="toc 8"/>
    <w:basedOn w:val="1"/>
    <w:next w:val="1"/>
    <w:semiHidden/>
    <w:qFormat/>
    <w:uiPriority w:val="0"/>
    <w:pPr>
      <w:tabs>
        <w:tab w:val="right" w:leader="dot" w:pos="9241"/>
      </w:tabs>
      <w:ind w:firstLine="607" w:firstLineChars="600"/>
      <w:jc w:val="left"/>
    </w:pPr>
    <w:rPr>
      <w:rFonts w:ascii="宋体"/>
      <w:szCs w:val="21"/>
    </w:rPr>
  </w:style>
  <w:style w:type="paragraph" w:styleId="20">
    <w:name w:val="index 3"/>
    <w:basedOn w:val="1"/>
    <w:next w:val="1"/>
    <w:qFormat/>
    <w:uiPriority w:val="0"/>
    <w:pPr>
      <w:ind w:left="630" w:hanging="210"/>
      <w:jc w:val="left"/>
    </w:pPr>
    <w:rPr>
      <w:rFonts w:ascii="Calibri" w:hAnsi="Calibri"/>
      <w:sz w:val="20"/>
      <w:szCs w:val="20"/>
    </w:rPr>
  </w:style>
  <w:style w:type="paragraph" w:styleId="21">
    <w:name w:val="endnote text"/>
    <w:basedOn w:val="1"/>
    <w:semiHidden/>
    <w:qFormat/>
    <w:uiPriority w:val="0"/>
    <w:pPr>
      <w:snapToGrid w:val="0"/>
      <w:jc w:val="left"/>
    </w:pPr>
  </w:style>
  <w:style w:type="paragraph" w:styleId="22">
    <w:name w:val="Balloon Text"/>
    <w:basedOn w:val="1"/>
    <w:link w:val="142"/>
    <w:qFormat/>
    <w:uiPriority w:val="99"/>
    <w:rPr>
      <w:sz w:val="18"/>
      <w:szCs w:val="18"/>
    </w:rPr>
  </w:style>
  <w:style w:type="paragraph" w:styleId="23">
    <w:name w:val="footer"/>
    <w:basedOn w:val="1"/>
    <w:link w:val="213"/>
    <w:qFormat/>
    <w:uiPriority w:val="99"/>
    <w:pPr>
      <w:snapToGrid w:val="0"/>
      <w:ind w:right="210" w:rightChars="100"/>
      <w:jc w:val="right"/>
    </w:pPr>
    <w:rPr>
      <w:sz w:val="18"/>
      <w:szCs w:val="18"/>
    </w:rPr>
  </w:style>
  <w:style w:type="paragraph" w:styleId="24">
    <w:name w:val="header"/>
    <w:basedOn w:val="1"/>
    <w:link w:val="212"/>
    <w:qFormat/>
    <w:uiPriority w:val="99"/>
    <w:pPr>
      <w:snapToGrid w:val="0"/>
      <w:jc w:val="left"/>
    </w:pPr>
    <w:rPr>
      <w:sz w:val="18"/>
      <w:szCs w:val="18"/>
    </w:rPr>
  </w:style>
  <w:style w:type="paragraph" w:styleId="25">
    <w:name w:val="toc 1"/>
    <w:basedOn w:val="1"/>
    <w:next w:val="1"/>
    <w:link w:val="177"/>
    <w:qFormat/>
    <w:uiPriority w:val="39"/>
    <w:pPr>
      <w:tabs>
        <w:tab w:val="right" w:leader="dot" w:pos="9242"/>
      </w:tabs>
      <w:spacing w:before="25" w:beforeLines="25" w:after="25" w:afterLines="25"/>
      <w:jc w:val="left"/>
    </w:pPr>
    <w:rPr>
      <w:rFonts w:ascii="宋体"/>
      <w:szCs w:val="21"/>
    </w:rPr>
  </w:style>
  <w:style w:type="paragraph" w:styleId="26">
    <w:name w:val="toc 4"/>
    <w:basedOn w:val="1"/>
    <w:next w:val="1"/>
    <w:qFormat/>
    <w:uiPriority w:val="39"/>
    <w:pPr>
      <w:tabs>
        <w:tab w:val="right" w:leader="dot" w:pos="9241"/>
      </w:tabs>
      <w:ind w:firstLine="200" w:firstLineChars="200"/>
      <w:jc w:val="left"/>
    </w:pPr>
    <w:rPr>
      <w:rFonts w:ascii="宋体"/>
      <w:szCs w:val="21"/>
    </w:rPr>
  </w:style>
  <w:style w:type="paragraph" w:styleId="27">
    <w:name w:val="index heading"/>
    <w:basedOn w:val="1"/>
    <w:next w:val="28"/>
    <w:qFormat/>
    <w:uiPriority w:val="0"/>
    <w:pPr>
      <w:spacing w:before="120" w:after="120"/>
      <w:jc w:val="center"/>
    </w:pPr>
    <w:rPr>
      <w:rFonts w:ascii="Calibri" w:hAnsi="Calibri"/>
      <w:b/>
      <w:bCs/>
      <w:iCs/>
      <w:szCs w:val="20"/>
    </w:rPr>
  </w:style>
  <w:style w:type="paragraph" w:styleId="28">
    <w:name w:val="index 1"/>
    <w:basedOn w:val="1"/>
    <w:next w:val="29"/>
    <w:qFormat/>
    <w:uiPriority w:val="0"/>
    <w:pPr>
      <w:tabs>
        <w:tab w:val="right" w:leader="dot" w:pos="9299"/>
      </w:tabs>
      <w:jc w:val="left"/>
    </w:pPr>
    <w:rPr>
      <w:rFonts w:ascii="宋体"/>
      <w:szCs w:val="21"/>
    </w:rPr>
  </w:style>
  <w:style w:type="paragraph" w:customStyle="1" w:styleId="29">
    <w:name w:val="段"/>
    <w:link w:val="4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0">
    <w:name w:val="footnote text"/>
    <w:basedOn w:val="1"/>
    <w:qFormat/>
    <w:uiPriority w:val="0"/>
    <w:pPr>
      <w:numPr>
        <w:ilvl w:val="0"/>
        <w:numId w:val="1"/>
      </w:numPr>
      <w:snapToGrid w:val="0"/>
      <w:jc w:val="left"/>
    </w:pPr>
    <w:rPr>
      <w:rFonts w:ascii="宋体"/>
      <w:sz w:val="18"/>
      <w:szCs w:val="18"/>
    </w:rPr>
  </w:style>
  <w:style w:type="paragraph" w:styleId="31">
    <w:name w:val="toc 6"/>
    <w:basedOn w:val="1"/>
    <w:next w:val="1"/>
    <w:semiHidden/>
    <w:qFormat/>
    <w:uiPriority w:val="0"/>
    <w:pPr>
      <w:tabs>
        <w:tab w:val="right" w:leader="dot" w:pos="9241"/>
      </w:tabs>
      <w:ind w:firstLine="400" w:firstLineChars="400"/>
      <w:jc w:val="left"/>
    </w:pPr>
    <w:rPr>
      <w:rFonts w:ascii="宋体"/>
      <w:szCs w:val="21"/>
    </w:rPr>
  </w:style>
  <w:style w:type="paragraph" w:styleId="32">
    <w:name w:val="index 7"/>
    <w:basedOn w:val="1"/>
    <w:next w:val="1"/>
    <w:qFormat/>
    <w:uiPriority w:val="0"/>
    <w:pPr>
      <w:ind w:left="1470" w:hanging="210"/>
      <w:jc w:val="left"/>
    </w:pPr>
    <w:rPr>
      <w:rFonts w:ascii="Calibri" w:hAnsi="Calibri"/>
      <w:sz w:val="20"/>
      <w:szCs w:val="20"/>
    </w:rPr>
  </w:style>
  <w:style w:type="paragraph" w:styleId="33">
    <w:name w:val="index 9"/>
    <w:basedOn w:val="1"/>
    <w:next w:val="1"/>
    <w:qFormat/>
    <w:uiPriority w:val="0"/>
    <w:pPr>
      <w:ind w:left="1890" w:hanging="210"/>
      <w:jc w:val="left"/>
    </w:pPr>
    <w:rPr>
      <w:rFonts w:ascii="Calibri" w:hAnsi="Calibri"/>
      <w:sz w:val="20"/>
      <w:szCs w:val="20"/>
    </w:rPr>
  </w:style>
  <w:style w:type="paragraph" w:styleId="34">
    <w:name w:val="toc 2"/>
    <w:basedOn w:val="1"/>
    <w:next w:val="1"/>
    <w:qFormat/>
    <w:uiPriority w:val="39"/>
    <w:pPr>
      <w:tabs>
        <w:tab w:val="right" w:leader="dot" w:pos="9242"/>
      </w:tabs>
    </w:pPr>
    <w:rPr>
      <w:rFonts w:ascii="宋体"/>
      <w:szCs w:val="21"/>
    </w:rPr>
  </w:style>
  <w:style w:type="paragraph" w:styleId="35">
    <w:name w:val="toc 9"/>
    <w:basedOn w:val="1"/>
    <w:next w:val="1"/>
    <w:semiHidden/>
    <w:qFormat/>
    <w:uiPriority w:val="0"/>
    <w:pPr>
      <w:ind w:left="1470"/>
      <w:jc w:val="left"/>
    </w:pPr>
    <w:rPr>
      <w:sz w:val="20"/>
      <w:szCs w:val="20"/>
    </w:rPr>
  </w:style>
  <w:style w:type="paragraph" w:styleId="36">
    <w:name w:val="index 2"/>
    <w:basedOn w:val="1"/>
    <w:next w:val="1"/>
    <w:qFormat/>
    <w:uiPriority w:val="0"/>
    <w:pPr>
      <w:ind w:left="420" w:hanging="210"/>
      <w:jc w:val="left"/>
    </w:pPr>
    <w:rPr>
      <w:rFonts w:ascii="Calibri" w:hAnsi="Calibri"/>
      <w:sz w:val="20"/>
      <w:szCs w:val="20"/>
    </w:rPr>
  </w:style>
  <w:style w:type="character" w:styleId="38">
    <w:name w:val="endnote reference"/>
    <w:semiHidden/>
    <w:qFormat/>
    <w:uiPriority w:val="0"/>
    <w:rPr>
      <w:vertAlign w:val="superscript"/>
    </w:rPr>
  </w:style>
  <w:style w:type="character" w:styleId="39">
    <w:name w:val="page number"/>
    <w:qFormat/>
    <w:uiPriority w:val="0"/>
    <w:rPr>
      <w:rFonts w:ascii="Times New Roman" w:hAnsi="Times New Roman" w:eastAsia="宋体"/>
      <w:sz w:val="18"/>
    </w:rPr>
  </w:style>
  <w:style w:type="character" w:styleId="40">
    <w:name w:val="FollowedHyperlink"/>
    <w:qFormat/>
    <w:uiPriority w:val="99"/>
    <w:rPr>
      <w:color w:val="800080"/>
      <w:u w:val="single"/>
    </w:rPr>
  </w:style>
  <w:style w:type="character" w:styleId="41">
    <w:name w:val="Hyperlink"/>
    <w:qFormat/>
    <w:uiPriority w:val="99"/>
    <w:rPr>
      <w:color w:val="0000FF"/>
      <w:spacing w:val="0"/>
      <w:w w:val="100"/>
      <w:szCs w:val="21"/>
      <w:u w:val="single"/>
    </w:rPr>
  </w:style>
  <w:style w:type="character" w:styleId="42">
    <w:name w:val="annotation reference"/>
    <w:unhideWhenUsed/>
    <w:qFormat/>
    <w:uiPriority w:val="99"/>
    <w:rPr>
      <w:sz w:val="21"/>
      <w:szCs w:val="21"/>
    </w:rPr>
  </w:style>
  <w:style w:type="character" w:styleId="43">
    <w:name w:val="footnote reference"/>
    <w:semiHidden/>
    <w:qFormat/>
    <w:uiPriority w:val="0"/>
    <w:rPr>
      <w:vertAlign w:val="superscript"/>
    </w:rPr>
  </w:style>
  <w:style w:type="table" w:styleId="45">
    <w:name w:val="Table Grid"/>
    <w:basedOn w:val="44"/>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46">
    <w:name w:val="段 Char"/>
    <w:link w:val="29"/>
    <w:qFormat/>
    <w:uiPriority w:val="0"/>
    <w:rPr>
      <w:rFonts w:ascii="宋体"/>
      <w:sz w:val="21"/>
      <w:lang w:val="en-US" w:eastAsia="zh-CN" w:bidi="ar-SA"/>
    </w:rPr>
  </w:style>
  <w:style w:type="paragraph" w:customStyle="1" w:styleId="47">
    <w:name w:val="一级条标题"/>
    <w:next w:val="29"/>
    <w:link w:val="145"/>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0">
    <w:name w:val="章标题"/>
    <w:next w:val="29"/>
    <w:qFormat/>
    <w:uiPriority w:val="99"/>
    <w:pPr>
      <w:numPr>
        <w:ilvl w:val="0"/>
        <w:numId w:val="2"/>
      </w:numPr>
      <w:spacing w:before="100" w:beforeLines="100" w:after="100" w:afterLines="100"/>
      <w:ind w:left="0"/>
      <w:jc w:val="both"/>
      <w:outlineLvl w:val="1"/>
    </w:pPr>
    <w:rPr>
      <w:rFonts w:ascii="黑体" w:hAnsi="Times New Roman" w:eastAsia="黑体" w:cs="Times New Roman"/>
      <w:sz w:val="21"/>
      <w:lang w:val="en-US" w:eastAsia="zh-CN" w:bidi="ar-SA"/>
    </w:rPr>
  </w:style>
  <w:style w:type="paragraph" w:customStyle="1" w:styleId="51">
    <w:name w:val="二级条标题"/>
    <w:basedOn w:val="47"/>
    <w:next w:val="29"/>
    <w:qFormat/>
    <w:uiPriority w:val="0"/>
    <w:pPr>
      <w:spacing w:before="50" w:after="50"/>
      <w:outlineLvl w:val="3"/>
    </w:pPr>
  </w:style>
  <w:style w:type="paragraph" w:customStyle="1" w:styleId="5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3">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4">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5">
    <w:name w:val="目次、标准名称标题"/>
    <w:basedOn w:val="1"/>
    <w:next w:val="29"/>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6">
    <w:name w:val="三级条标题"/>
    <w:basedOn w:val="51"/>
    <w:next w:val="29"/>
    <w:qFormat/>
    <w:uiPriority w:val="0"/>
    <w:pPr>
      <w:outlineLvl w:val="4"/>
    </w:pPr>
  </w:style>
  <w:style w:type="paragraph" w:customStyle="1" w:styleId="57">
    <w:name w:val="示例"/>
    <w:next w:val="58"/>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9">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0">
    <w:name w:val="四级条标题"/>
    <w:basedOn w:val="56"/>
    <w:next w:val="29"/>
    <w:qFormat/>
    <w:uiPriority w:val="0"/>
    <w:pPr>
      <w:outlineLvl w:val="5"/>
    </w:pPr>
  </w:style>
  <w:style w:type="paragraph" w:customStyle="1" w:styleId="61">
    <w:name w:val="五级条标题"/>
    <w:basedOn w:val="60"/>
    <w:next w:val="29"/>
    <w:qFormat/>
    <w:uiPriority w:val="0"/>
    <w:pPr>
      <w:outlineLvl w:val="6"/>
    </w:pPr>
  </w:style>
  <w:style w:type="paragraph" w:customStyle="1" w:styleId="62">
    <w:name w:val="注："/>
    <w:next w:val="29"/>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3">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4">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5">
    <w:name w:val="列项◆（三级）"/>
    <w:basedOn w:val="1"/>
    <w:qFormat/>
    <w:uiPriority w:val="0"/>
    <w:pPr>
      <w:numPr>
        <w:ilvl w:val="2"/>
        <w:numId w:val="3"/>
      </w:numPr>
    </w:pPr>
    <w:rPr>
      <w:rFonts w:ascii="宋体"/>
      <w:szCs w:val="21"/>
    </w:rPr>
  </w:style>
  <w:style w:type="paragraph" w:customStyle="1" w:styleId="66">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7">
    <w:name w:val="示例×："/>
    <w:basedOn w:val="50"/>
    <w:qFormat/>
    <w:uiPriority w:val="0"/>
    <w:pPr>
      <w:numPr>
        <w:numId w:val="8"/>
      </w:numPr>
      <w:spacing w:before="0" w:beforeLines="0" w:after="0" w:afterLines="0"/>
      <w:outlineLvl w:val="9"/>
    </w:pPr>
    <w:rPr>
      <w:rFonts w:ascii="宋体" w:eastAsia="宋体"/>
      <w:sz w:val="18"/>
      <w:szCs w:val="18"/>
    </w:rPr>
  </w:style>
  <w:style w:type="paragraph" w:customStyle="1" w:styleId="68">
    <w:name w:val="二级无"/>
    <w:basedOn w:val="51"/>
    <w:qFormat/>
    <w:uiPriority w:val="0"/>
    <w:pPr>
      <w:spacing w:before="0" w:beforeLines="0" w:after="0" w:afterLines="0"/>
    </w:pPr>
    <w:rPr>
      <w:rFonts w:ascii="宋体" w:eastAsia="宋体"/>
    </w:rPr>
  </w:style>
  <w:style w:type="paragraph" w:customStyle="1" w:styleId="69">
    <w:name w:val="注：（正文）"/>
    <w:basedOn w:val="62"/>
    <w:next w:val="29"/>
    <w:qFormat/>
    <w:uiPriority w:val="0"/>
  </w:style>
  <w:style w:type="paragraph" w:customStyle="1" w:styleId="70">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71">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3">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4">
    <w:name w:val="标准书眉_偶数页"/>
    <w:basedOn w:val="49"/>
    <w:next w:val="1"/>
    <w:qFormat/>
    <w:uiPriority w:val="0"/>
    <w:pPr>
      <w:jc w:val="left"/>
    </w:pPr>
  </w:style>
  <w:style w:type="paragraph" w:customStyle="1" w:styleId="75">
    <w:name w:val="标准书眉一"/>
    <w:qFormat/>
    <w:uiPriority w:val="0"/>
    <w:pPr>
      <w:jc w:val="both"/>
    </w:pPr>
    <w:rPr>
      <w:rFonts w:ascii="Times New Roman" w:hAnsi="Times New Roman" w:eastAsia="宋体" w:cs="Times New Roman"/>
      <w:lang w:val="en-US" w:eastAsia="zh-CN" w:bidi="ar-SA"/>
    </w:rPr>
  </w:style>
  <w:style w:type="paragraph" w:customStyle="1" w:styleId="76">
    <w:name w:val="参考文献"/>
    <w:basedOn w:val="1"/>
    <w:next w:val="29"/>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7">
    <w:name w:val="参考文献、索引标题"/>
    <w:basedOn w:val="1"/>
    <w:next w:val="29"/>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8">
    <w:name w:val="发布"/>
    <w:qFormat/>
    <w:uiPriority w:val="0"/>
    <w:rPr>
      <w:rFonts w:ascii="黑体" w:eastAsia="黑体"/>
      <w:spacing w:val="85"/>
      <w:w w:val="100"/>
      <w:position w:val="3"/>
      <w:sz w:val="28"/>
      <w:szCs w:val="28"/>
    </w:rPr>
  </w:style>
  <w:style w:type="paragraph" w:customStyle="1" w:styleId="79">
    <w:name w:val="发布部门"/>
    <w:next w:val="29"/>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4">
    <w:name w:val="封面标准英文名称"/>
    <w:basedOn w:val="83"/>
    <w:qFormat/>
    <w:uiPriority w:val="0"/>
    <w:pPr>
      <w:spacing w:before="370" w:line="400" w:lineRule="exact"/>
    </w:pPr>
    <w:rPr>
      <w:rFonts w:ascii="Times New Roman"/>
      <w:sz w:val="28"/>
      <w:szCs w:val="28"/>
    </w:rPr>
  </w:style>
  <w:style w:type="paragraph" w:customStyle="1" w:styleId="85">
    <w:name w:val="封面一致性程度标识"/>
    <w:basedOn w:val="84"/>
    <w:qFormat/>
    <w:uiPriority w:val="0"/>
    <w:pPr>
      <w:spacing w:before="440"/>
    </w:pPr>
    <w:rPr>
      <w:rFonts w:ascii="宋体" w:eastAsia="宋体"/>
    </w:rPr>
  </w:style>
  <w:style w:type="paragraph" w:customStyle="1" w:styleId="86">
    <w:name w:val="封面标准文稿类别"/>
    <w:basedOn w:val="85"/>
    <w:qFormat/>
    <w:uiPriority w:val="0"/>
    <w:pPr>
      <w:spacing w:after="160" w:line="240" w:lineRule="auto"/>
    </w:pPr>
    <w:rPr>
      <w:sz w:val="24"/>
    </w:rPr>
  </w:style>
  <w:style w:type="paragraph" w:customStyle="1" w:styleId="87">
    <w:name w:val="封面标准文稿编辑信息"/>
    <w:basedOn w:val="86"/>
    <w:qFormat/>
    <w:uiPriority w:val="0"/>
    <w:pPr>
      <w:spacing w:before="180" w:line="180" w:lineRule="exact"/>
    </w:pPr>
    <w:rPr>
      <w:sz w:val="21"/>
    </w:rPr>
  </w:style>
  <w:style w:type="paragraph" w:customStyle="1" w:styleId="88">
    <w:name w:val="封面正文"/>
    <w:qFormat/>
    <w:uiPriority w:val="0"/>
    <w:pPr>
      <w:jc w:val="both"/>
    </w:pPr>
    <w:rPr>
      <w:rFonts w:ascii="Times New Roman" w:hAnsi="Times New Roman" w:eastAsia="宋体" w:cs="Times New Roman"/>
      <w:lang w:val="en-US" w:eastAsia="zh-CN" w:bidi="ar-SA"/>
    </w:rPr>
  </w:style>
  <w:style w:type="paragraph" w:customStyle="1" w:styleId="89">
    <w:name w:val="附录标识"/>
    <w:basedOn w:val="1"/>
    <w:next w:val="29"/>
    <w:qFormat/>
    <w:uiPriority w:val="0"/>
    <w:pPr>
      <w:keepNext/>
      <w:widowControl/>
      <w:numPr>
        <w:ilvl w:val="0"/>
        <w:numId w:val="10"/>
      </w:numPr>
      <w:shd w:val="clear" w:color="FFFFFF" w:fill="FFFFFF"/>
      <w:tabs>
        <w:tab w:val="left" w:pos="6405"/>
      </w:tabs>
      <w:spacing w:before="640" w:after="280"/>
      <w:jc w:val="center"/>
      <w:outlineLvl w:val="0"/>
    </w:pPr>
    <w:rPr>
      <w:rFonts w:ascii="黑体" w:eastAsia="黑体"/>
      <w:kern w:val="0"/>
      <w:szCs w:val="20"/>
    </w:rPr>
  </w:style>
  <w:style w:type="paragraph" w:customStyle="1" w:styleId="90">
    <w:name w:val="附录标题"/>
    <w:basedOn w:val="29"/>
    <w:next w:val="29"/>
    <w:qFormat/>
    <w:uiPriority w:val="0"/>
    <w:pPr>
      <w:ind w:firstLine="0" w:firstLineChars="0"/>
      <w:jc w:val="center"/>
    </w:pPr>
    <w:rPr>
      <w:rFonts w:ascii="黑体" w:eastAsia="黑体"/>
    </w:rPr>
  </w:style>
  <w:style w:type="paragraph" w:customStyle="1" w:styleId="91">
    <w:name w:val="附录表标号"/>
    <w:basedOn w:val="1"/>
    <w:next w:val="29"/>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2">
    <w:name w:val="附录表标题"/>
    <w:basedOn w:val="1"/>
    <w:next w:val="29"/>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93">
    <w:name w:val="附录二级条标题"/>
    <w:basedOn w:val="1"/>
    <w:next w:val="29"/>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4">
    <w:name w:val="附录二级无"/>
    <w:basedOn w:val="93"/>
    <w:qFormat/>
    <w:uiPriority w:val="0"/>
    <w:pPr>
      <w:tabs>
        <w:tab w:val="clear" w:pos="360"/>
      </w:tabs>
      <w:spacing w:before="0" w:beforeLines="0" w:after="0" w:afterLines="0"/>
    </w:pPr>
    <w:rPr>
      <w:rFonts w:ascii="宋体" w:eastAsia="宋体"/>
      <w:szCs w:val="21"/>
    </w:rPr>
  </w:style>
  <w:style w:type="paragraph" w:customStyle="1" w:styleId="95">
    <w:name w:val="附录公式"/>
    <w:basedOn w:val="29"/>
    <w:next w:val="29"/>
    <w:link w:val="96"/>
    <w:qFormat/>
    <w:uiPriority w:val="0"/>
  </w:style>
  <w:style w:type="character" w:customStyle="1" w:styleId="96">
    <w:name w:val="附录公式 Char"/>
    <w:basedOn w:val="46"/>
    <w:link w:val="95"/>
    <w:qFormat/>
    <w:uiPriority w:val="0"/>
    <w:rPr>
      <w:rFonts w:ascii="宋体"/>
      <w:sz w:val="21"/>
      <w:lang w:val="en-US" w:eastAsia="zh-CN" w:bidi="ar-SA"/>
    </w:rPr>
  </w:style>
  <w:style w:type="paragraph" w:customStyle="1" w:styleId="97">
    <w:name w:val="附录公式编号制表符"/>
    <w:basedOn w:val="1"/>
    <w:next w:val="29"/>
    <w:qFormat/>
    <w:uiPriority w:val="0"/>
    <w:pPr>
      <w:widowControl/>
      <w:tabs>
        <w:tab w:val="center" w:pos="4201"/>
        <w:tab w:val="right" w:leader="dot" w:pos="9298"/>
      </w:tabs>
      <w:autoSpaceDE w:val="0"/>
      <w:autoSpaceDN w:val="0"/>
    </w:pPr>
    <w:rPr>
      <w:rFonts w:ascii="宋体"/>
      <w:kern w:val="0"/>
      <w:szCs w:val="20"/>
    </w:rPr>
  </w:style>
  <w:style w:type="paragraph" w:customStyle="1" w:styleId="98">
    <w:name w:val="附录三级条标题"/>
    <w:basedOn w:val="93"/>
    <w:next w:val="29"/>
    <w:qFormat/>
    <w:uiPriority w:val="0"/>
    <w:pPr>
      <w:numPr>
        <w:ilvl w:val="4"/>
      </w:numPr>
      <w:outlineLvl w:val="4"/>
    </w:pPr>
  </w:style>
  <w:style w:type="paragraph" w:customStyle="1" w:styleId="99">
    <w:name w:val="附录三级无"/>
    <w:basedOn w:val="98"/>
    <w:qFormat/>
    <w:uiPriority w:val="0"/>
    <w:pPr>
      <w:tabs>
        <w:tab w:val="clear" w:pos="360"/>
      </w:tabs>
      <w:spacing w:before="0" w:beforeLines="0" w:after="0" w:afterLines="0"/>
    </w:pPr>
    <w:rPr>
      <w:rFonts w:ascii="宋体" w:eastAsia="宋体"/>
      <w:szCs w:val="21"/>
    </w:rPr>
  </w:style>
  <w:style w:type="paragraph" w:customStyle="1" w:styleId="100">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101">
    <w:name w:val="附录四级条标题"/>
    <w:basedOn w:val="98"/>
    <w:next w:val="29"/>
    <w:qFormat/>
    <w:uiPriority w:val="0"/>
    <w:pPr>
      <w:numPr>
        <w:ilvl w:val="5"/>
      </w:numPr>
      <w:outlineLvl w:val="5"/>
    </w:pPr>
  </w:style>
  <w:style w:type="paragraph" w:customStyle="1" w:styleId="102">
    <w:name w:val="附录四级无"/>
    <w:basedOn w:val="101"/>
    <w:qFormat/>
    <w:uiPriority w:val="0"/>
    <w:pPr>
      <w:tabs>
        <w:tab w:val="clear" w:pos="360"/>
      </w:tabs>
      <w:spacing w:before="0" w:beforeLines="0" w:after="0" w:afterLines="0"/>
    </w:pPr>
    <w:rPr>
      <w:rFonts w:ascii="宋体" w:eastAsia="宋体"/>
      <w:szCs w:val="21"/>
    </w:rPr>
  </w:style>
  <w:style w:type="paragraph" w:customStyle="1" w:styleId="103">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4">
    <w:name w:val="附录图标题"/>
    <w:basedOn w:val="1"/>
    <w:next w:val="29"/>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05">
    <w:name w:val="附录五级条标题"/>
    <w:basedOn w:val="101"/>
    <w:next w:val="29"/>
    <w:qFormat/>
    <w:uiPriority w:val="0"/>
    <w:pPr>
      <w:numPr>
        <w:ilvl w:val="6"/>
      </w:numPr>
      <w:outlineLvl w:val="6"/>
    </w:pPr>
  </w:style>
  <w:style w:type="paragraph" w:customStyle="1" w:styleId="106">
    <w:name w:val="附录五级无"/>
    <w:basedOn w:val="105"/>
    <w:qFormat/>
    <w:uiPriority w:val="0"/>
    <w:pPr>
      <w:tabs>
        <w:tab w:val="clear" w:pos="360"/>
      </w:tabs>
      <w:spacing w:before="0" w:beforeLines="0" w:after="0" w:afterLines="0"/>
    </w:pPr>
    <w:rPr>
      <w:rFonts w:ascii="宋体" w:eastAsia="宋体"/>
      <w:szCs w:val="21"/>
    </w:rPr>
  </w:style>
  <w:style w:type="paragraph" w:customStyle="1" w:styleId="107">
    <w:name w:val="附录章标题"/>
    <w:next w:val="29"/>
    <w:qFormat/>
    <w:uiPriority w:val="0"/>
    <w:pPr>
      <w:numPr>
        <w:ilvl w:val="1"/>
        <w:numId w:val="10"/>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8">
    <w:name w:val="附录一级条标题"/>
    <w:basedOn w:val="107"/>
    <w:next w:val="29"/>
    <w:qFormat/>
    <w:uiPriority w:val="0"/>
    <w:pPr>
      <w:numPr>
        <w:ilvl w:val="2"/>
      </w:numPr>
      <w:autoSpaceDN w:val="0"/>
      <w:spacing w:before="50" w:beforeLines="50" w:after="50" w:afterLines="50"/>
      <w:outlineLvl w:val="2"/>
    </w:pPr>
  </w:style>
  <w:style w:type="paragraph" w:customStyle="1" w:styleId="109">
    <w:name w:val="附录一级无"/>
    <w:basedOn w:val="108"/>
    <w:qFormat/>
    <w:uiPriority w:val="0"/>
    <w:pPr>
      <w:spacing w:before="0" w:beforeLines="0" w:after="0" w:afterLines="0"/>
    </w:pPr>
    <w:rPr>
      <w:rFonts w:ascii="宋体" w:eastAsia="宋体"/>
      <w:szCs w:val="21"/>
    </w:rPr>
  </w:style>
  <w:style w:type="paragraph" w:customStyle="1" w:styleId="110">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11">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4">
    <w:name w:val="其他标准标志"/>
    <w:basedOn w:val="71"/>
    <w:qFormat/>
    <w:uiPriority w:val="0"/>
    <w:pPr>
      <w:framePr w:w="6101" w:vAnchor="page" w:hAnchor="page" w:x="4673" w:y="942"/>
    </w:pPr>
    <w:rPr>
      <w:w w:val="130"/>
    </w:rPr>
  </w:style>
  <w:style w:type="paragraph" w:customStyle="1" w:styleId="11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6">
    <w:name w:val="其他发布部门"/>
    <w:basedOn w:val="79"/>
    <w:qFormat/>
    <w:uiPriority w:val="0"/>
    <w:pPr>
      <w:framePr w:y="15310"/>
      <w:spacing w:line="0" w:lineRule="atLeast"/>
    </w:pPr>
    <w:rPr>
      <w:rFonts w:ascii="黑体" w:eastAsia="黑体"/>
      <w:b w:val="0"/>
    </w:rPr>
  </w:style>
  <w:style w:type="paragraph" w:customStyle="1" w:styleId="117">
    <w:name w:val="前言、引言标题"/>
    <w:next w:val="29"/>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8">
    <w:name w:val="三级无"/>
    <w:basedOn w:val="56"/>
    <w:qFormat/>
    <w:uiPriority w:val="0"/>
    <w:pPr>
      <w:spacing w:before="0" w:beforeLines="0" w:after="0" w:afterLines="0"/>
    </w:pPr>
    <w:rPr>
      <w:rFonts w:ascii="宋体" w:eastAsia="宋体"/>
    </w:rPr>
  </w:style>
  <w:style w:type="paragraph" w:customStyle="1" w:styleId="119">
    <w:name w:val="实施日期"/>
    <w:basedOn w:val="80"/>
    <w:qFormat/>
    <w:uiPriority w:val="0"/>
    <w:pPr>
      <w:framePr w:vAnchor="page" w:hAnchor="text"/>
      <w:jc w:val="right"/>
    </w:pPr>
  </w:style>
  <w:style w:type="paragraph" w:customStyle="1" w:styleId="120">
    <w:name w:val="示例后文字"/>
    <w:basedOn w:val="29"/>
    <w:next w:val="29"/>
    <w:qFormat/>
    <w:uiPriority w:val="0"/>
    <w:pPr>
      <w:ind w:firstLine="360"/>
    </w:pPr>
    <w:rPr>
      <w:sz w:val="18"/>
    </w:rPr>
  </w:style>
  <w:style w:type="paragraph" w:customStyle="1" w:styleId="121">
    <w:name w:val="首示例"/>
    <w:next w:val="29"/>
    <w:link w:val="122"/>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2">
    <w:name w:val="首示例 Char"/>
    <w:link w:val="121"/>
    <w:qFormat/>
    <w:uiPriority w:val="0"/>
    <w:rPr>
      <w:rFonts w:ascii="宋体" w:hAnsi="宋体"/>
      <w:kern w:val="2"/>
      <w:sz w:val="18"/>
      <w:szCs w:val="18"/>
    </w:rPr>
  </w:style>
  <w:style w:type="paragraph" w:customStyle="1" w:styleId="123">
    <w:name w:val="四级无"/>
    <w:basedOn w:val="60"/>
    <w:qFormat/>
    <w:uiPriority w:val="0"/>
    <w:pPr>
      <w:spacing w:before="0" w:beforeLines="0" w:after="0" w:afterLines="0"/>
    </w:pPr>
    <w:rPr>
      <w:rFonts w:ascii="宋体" w:eastAsia="宋体"/>
    </w:rPr>
  </w:style>
  <w:style w:type="paragraph" w:customStyle="1" w:styleId="124">
    <w:name w:val="条文脚注"/>
    <w:basedOn w:val="30"/>
    <w:qFormat/>
    <w:uiPriority w:val="0"/>
    <w:pPr>
      <w:numPr>
        <w:numId w:val="0"/>
      </w:numPr>
      <w:jc w:val="both"/>
    </w:pPr>
  </w:style>
  <w:style w:type="paragraph" w:customStyle="1" w:styleId="125">
    <w:name w:val="图标脚注说明"/>
    <w:basedOn w:val="29"/>
    <w:qFormat/>
    <w:uiPriority w:val="0"/>
    <w:pPr>
      <w:ind w:left="840" w:hanging="420" w:firstLineChars="0"/>
    </w:pPr>
    <w:rPr>
      <w:sz w:val="18"/>
      <w:szCs w:val="18"/>
    </w:rPr>
  </w:style>
  <w:style w:type="paragraph" w:customStyle="1" w:styleId="126">
    <w:name w:val="图表脚注说明"/>
    <w:basedOn w:val="1"/>
    <w:qFormat/>
    <w:uiPriority w:val="0"/>
    <w:pPr>
      <w:numPr>
        <w:ilvl w:val="0"/>
        <w:numId w:val="15"/>
      </w:numPr>
    </w:pPr>
    <w:rPr>
      <w:rFonts w:ascii="宋体"/>
      <w:sz w:val="18"/>
      <w:szCs w:val="18"/>
    </w:rPr>
  </w:style>
  <w:style w:type="paragraph" w:customStyle="1" w:styleId="127">
    <w:name w:val="图的脚注"/>
    <w:next w:val="29"/>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8">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9">
    <w:name w:val="五级无"/>
    <w:basedOn w:val="61"/>
    <w:qFormat/>
    <w:uiPriority w:val="0"/>
    <w:pPr>
      <w:spacing w:before="0" w:beforeLines="0" w:after="0" w:afterLines="0"/>
    </w:pPr>
    <w:rPr>
      <w:rFonts w:ascii="宋体" w:eastAsia="宋体"/>
    </w:rPr>
  </w:style>
  <w:style w:type="paragraph" w:customStyle="1" w:styleId="130">
    <w:name w:val="一级无"/>
    <w:basedOn w:val="47"/>
    <w:qFormat/>
    <w:uiPriority w:val="0"/>
    <w:pPr>
      <w:spacing w:before="0" w:beforeLines="0" w:after="0" w:afterLines="0"/>
    </w:pPr>
    <w:rPr>
      <w:rFonts w:ascii="宋体" w:eastAsia="宋体"/>
    </w:rPr>
  </w:style>
  <w:style w:type="paragraph" w:customStyle="1" w:styleId="131">
    <w:name w:val="正文表标题"/>
    <w:next w:val="29"/>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正文公式编号制表符"/>
    <w:basedOn w:val="29"/>
    <w:next w:val="29"/>
    <w:qFormat/>
    <w:uiPriority w:val="0"/>
    <w:pPr>
      <w:ind w:firstLine="0" w:firstLineChars="0"/>
    </w:pPr>
  </w:style>
  <w:style w:type="paragraph" w:customStyle="1" w:styleId="133">
    <w:name w:val="正文图标题"/>
    <w:next w:val="29"/>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4">
    <w:name w:val="终结线"/>
    <w:basedOn w:val="1"/>
    <w:qFormat/>
    <w:uiPriority w:val="0"/>
    <w:pPr>
      <w:framePr w:hSpace="181" w:vSpace="181" w:wrap="around" w:vAnchor="text" w:hAnchor="margin" w:xAlign="center" w:y="285"/>
    </w:pPr>
  </w:style>
  <w:style w:type="paragraph" w:customStyle="1" w:styleId="135">
    <w:name w:val="其他发布日期"/>
    <w:basedOn w:val="80"/>
    <w:qFormat/>
    <w:uiPriority w:val="0"/>
    <w:pPr>
      <w:framePr w:vAnchor="page" w:hAnchor="text" w:x="1419"/>
    </w:pPr>
  </w:style>
  <w:style w:type="paragraph" w:customStyle="1" w:styleId="136">
    <w:name w:val="其他实施日期"/>
    <w:basedOn w:val="119"/>
    <w:qFormat/>
    <w:uiPriority w:val="0"/>
  </w:style>
  <w:style w:type="paragraph" w:customStyle="1" w:styleId="137">
    <w:name w:val="封面标准名称2"/>
    <w:basedOn w:val="83"/>
    <w:qFormat/>
    <w:uiPriority w:val="0"/>
    <w:pPr>
      <w:framePr w:y="4469"/>
      <w:spacing w:before="630" w:beforeLines="630"/>
    </w:pPr>
  </w:style>
  <w:style w:type="paragraph" w:customStyle="1" w:styleId="138">
    <w:name w:val="封面标准英文名称2"/>
    <w:basedOn w:val="84"/>
    <w:qFormat/>
    <w:uiPriority w:val="0"/>
    <w:pPr>
      <w:framePr w:y="4469"/>
    </w:pPr>
  </w:style>
  <w:style w:type="paragraph" w:customStyle="1" w:styleId="139">
    <w:name w:val="封面一致性程度标识2"/>
    <w:basedOn w:val="85"/>
    <w:qFormat/>
    <w:uiPriority w:val="0"/>
    <w:pPr>
      <w:framePr w:y="4469"/>
    </w:pPr>
  </w:style>
  <w:style w:type="paragraph" w:customStyle="1" w:styleId="140">
    <w:name w:val="封面标准文稿类别2"/>
    <w:basedOn w:val="86"/>
    <w:qFormat/>
    <w:uiPriority w:val="0"/>
    <w:pPr>
      <w:framePr w:y="4469"/>
    </w:pPr>
  </w:style>
  <w:style w:type="paragraph" w:customStyle="1" w:styleId="141">
    <w:name w:val="封面标准文稿编辑信息2"/>
    <w:basedOn w:val="87"/>
    <w:qFormat/>
    <w:uiPriority w:val="0"/>
    <w:pPr>
      <w:framePr w:y="4469"/>
    </w:pPr>
  </w:style>
  <w:style w:type="character" w:customStyle="1" w:styleId="142">
    <w:name w:val="批注框文本 字符"/>
    <w:link w:val="22"/>
    <w:qFormat/>
    <w:uiPriority w:val="99"/>
    <w:rPr>
      <w:kern w:val="2"/>
      <w:sz w:val="18"/>
      <w:szCs w:val="18"/>
    </w:rPr>
  </w:style>
  <w:style w:type="paragraph" w:customStyle="1" w:styleId="143">
    <w:name w:val="彩色列表 - 强调文字颜色 11"/>
    <w:basedOn w:val="1"/>
    <w:qFormat/>
    <w:uiPriority w:val="34"/>
    <w:pPr>
      <w:ind w:firstLine="420" w:firstLineChars="200"/>
    </w:pPr>
  </w:style>
  <w:style w:type="character" w:customStyle="1" w:styleId="144">
    <w:name w:val="纯文本 字符"/>
    <w:link w:val="18"/>
    <w:qFormat/>
    <w:uiPriority w:val="0"/>
    <w:rPr>
      <w:rFonts w:ascii="宋体" w:hAnsi="Courier New"/>
      <w:kern w:val="2"/>
      <w:sz w:val="21"/>
    </w:rPr>
  </w:style>
  <w:style w:type="character" w:customStyle="1" w:styleId="145">
    <w:name w:val="一级条标题 Char"/>
    <w:link w:val="47"/>
    <w:qFormat/>
    <w:uiPriority w:val="0"/>
    <w:rPr>
      <w:rFonts w:ascii="黑体" w:eastAsia="黑体"/>
      <w:sz w:val="21"/>
      <w:szCs w:val="21"/>
    </w:rPr>
  </w:style>
  <w:style w:type="paragraph" w:customStyle="1" w:styleId="14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47">
    <w:name w:val="正文文本 字符"/>
    <w:basedOn w:val="37"/>
    <w:link w:val="14"/>
    <w:qFormat/>
    <w:uiPriority w:val="99"/>
    <w:rPr>
      <w:rFonts w:ascii="Arial" w:hAnsi="Arial" w:cs="Arial"/>
    </w:rPr>
  </w:style>
  <w:style w:type="paragraph" w:customStyle="1" w:styleId="148">
    <w:name w:val="Table Paragraph"/>
    <w:basedOn w:val="1"/>
    <w:qFormat/>
    <w:uiPriority w:val="1"/>
    <w:pPr>
      <w:autoSpaceDE w:val="0"/>
      <w:autoSpaceDN w:val="0"/>
      <w:adjustRightInd w:val="0"/>
      <w:jc w:val="left"/>
    </w:pPr>
    <w:rPr>
      <w:kern w:val="0"/>
      <w:sz w:val="24"/>
    </w:rPr>
  </w:style>
  <w:style w:type="character" w:customStyle="1" w:styleId="149">
    <w:name w:val="标题 1 字符"/>
    <w:basedOn w:val="37"/>
    <w:link w:val="2"/>
    <w:qFormat/>
    <w:uiPriority w:val="9"/>
    <w:rPr>
      <w:b/>
      <w:bCs/>
      <w:kern w:val="44"/>
      <w:sz w:val="44"/>
      <w:szCs w:val="44"/>
    </w:rPr>
  </w:style>
  <w:style w:type="character" w:customStyle="1" w:styleId="150">
    <w:name w:val="标题 2 字符"/>
    <w:basedOn w:val="37"/>
    <w:link w:val="3"/>
    <w:qFormat/>
    <w:uiPriority w:val="9"/>
    <w:rPr>
      <w:rFonts w:ascii="Cambria" w:hAnsi="Cambria"/>
      <w:b/>
      <w:bCs/>
      <w:color w:val="000000"/>
      <w:sz w:val="32"/>
      <w:szCs w:val="32"/>
      <w:lang w:eastAsia="en-US"/>
    </w:rPr>
  </w:style>
  <w:style w:type="character" w:customStyle="1" w:styleId="151">
    <w:name w:val="标题 3 字符"/>
    <w:basedOn w:val="37"/>
    <w:link w:val="4"/>
    <w:qFormat/>
    <w:uiPriority w:val="9"/>
    <w:rPr>
      <w:rFonts w:ascii="MingLiU_HKSCS" w:hAnsi="MingLiU_HKSCS" w:eastAsia="MingLiU_HKSCS" w:cs="MingLiU_HKSCS"/>
      <w:b/>
      <w:bCs/>
      <w:color w:val="000000"/>
      <w:sz w:val="32"/>
      <w:szCs w:val="32"/>
      <w:lang w:eastAsia="en-US"/>
    </w:rPr>
  </w:style>
  <w:style w:type="character" w:customStyle="1" w:styleId="152">
    <w:name w:val="脚注_"/>
    <w:link w:val="153"/>
    <w:qFormat/>
    <w:uiPriority w:val="99"/>
    <w:rPr>
      <w:rFonts w:ascii="Arial" w:hAnsi="Arial" w:cs="Arial"/>
      <w:sz w:val="15"/>
      <w:szCs w:val="15"/>
      <w:shd w:val="clear" w:color="auto" w:fill="FFFFFF"/>
    </w:rPr>
  </w:style>
  <w:style w:type="paragraph" w:customStyle="1" w:styleId="153">
    <w:name w:val="脚注"/>
    <w:basedOn w:val="1"/>
    <w:link w:val="152"/>
    <w:qFormat/>
    <w:uiPriority w:val="99"/>
    <w:pPr>
      <w:shd w:val="clear" w:color="auto" w:fill="FFFFFF"/>
      <w:spacing w:line="240" w:lineRule="atLeast"/>
      <w:jc w:val="left"/>
    </w:pPr>
    <w:rPr>
      <w:rFonts w:ascii="Arial" w:hAnsi="Arial" w:cs="Arial"/>
      <w:kern w:val="0"/>
      <w:sz w:val="15"/>
      <w:szCs w:val="15"/>
    </w:rPr>
  </w:style>
  <w:style w:type="character" w:customStyle="1" w:styleId="154">
    <w:name w:val="正文文本 (6)_"/>
    <w:link w:val="155"/>
    <w:qFormat/>
    <w:uiPriority w:val="99"/>
    <w:rPr>
      <w:rFonts w:ascii="Arial" w:hAnsi="Arial" w:cs="Arial"/>
      <w:b/>
      <w:bCs/>
      <w:shd w:val="clear" w:color="auto" w:fill="FFFFFF"/>
    </w:rPr>
  </w:style>
  <w:style w:type="paragraph" w:customStyle="1" w:styleId="155">
    <w:name w:val="正文文本 (6)"/>
    <w:basedOn w:val="1"/>
    <w:link w:val="154"/>
    <w:qFormat/>
    <w:uiPriority w:val="99"/>
    <w:pPr>
      <w:shd w:val="clear" w:color="auto" w:fill="FFFFFF"/>
      <w:spacing w:line="274" w:lineRule="exact"/>
      <w:ind w:hanging="1100"/>
      <w:jc w:val="left"/>
    </w:pPr>
    <w:rPr>
      <w:rFonts w:ascii="Arial" w:hAnsi="Arial" w:cs="Arial"/>
      <w:b/>
      <w:bCs/>
      <w:kern w:val="0"/>
      <w:sz w:val="20"/>
      <w:szCs w:val="20"/>
    </w:rPr>
  </w:style>
  <w:style w:type="character" w:customStyle="1" w:styleId="156">
    <w:name w:val="正文文本 (4)"/>
    <w:qFormat/>
    <w:uiPriority w:val="99"/>
    <w:rPr>
      <w:rFonts w:ascii="Arial" w:hAnsi="Arial" w:cs="Arial"/>
      <w:sz w:val="15"/>
      <w:szCs w:val="15"/>
      <w:u w:val="none"/>
    </w:rPr>
  </w:style>
  <w:style w:type="character" w:customStyle="1" w:styleId="157">
    <w:name w:val="正文文本 (4)3"/>
    <w:qFormat/>
    <w:uiPriority w:val="99"/>
    <w:rPr>
      <w:rFonts w:ascii="Arial" w:hAnsi="Arial" w:cs="Arial"/>
      <w:color w:val="0000FD"/>
      <w:spacing w:val="0"/>
      <w:w w:val="100"/>
      <w:position w:val="0"/>
      <w:sz w:val="15"/>
      <w:szCs w:val="15"/>
      <w:u w:val="none"/>
    </w:rPr>
  </w:style>
  <w:style w:type="character" w:customStyle="1" w:styleId="158">
    <w:name w:val="正文文本 (7)"/>
    <w:qFormat/>
    <w:uiPriority w:val="99"/>
    <w:rPr>
      <w:rFonts w:ascii="Arial" w:hAnsi="Arial" w:cs="Arial"/>
      <w:b/>
      <w:bCs/>
      <w:sz w:val="15"/>
      <w:szCs w:val="15"/>
      <w:u w:val="none"/>
    </w:rPr>
  </w:style>
  <w:style w:type="character" w:customStyle="1" w:styleId="159">
    <w:name w:val="正文文本 (3)_"/>
    <w:link w:val="160"/>
    <w:qFormat/>
    <w:uiPriority w:val="99"/>
    <w:rPr>
      <w:rFonts w:ascii="Arial" w:hAnsi="Arial" w:cs="Arial"/>
      <w:b/>
      <w:bCs/>
      <w:sz w:val="22"/>
      <w:szCs w:val="22"/>
      <w:shd w:val="clear" w:color="auto" w:fill="FFFFFF"/>
    </w:rPr>
  </w:style>
  <w:style w:type="paragraph" w:customStyle="1" w:styleId="160">
    <w:name w:val="正文文本 (3)1"/>
    <w:basedOn w:val="1"/>
    <w:link w:val="159"/>
    <w:qFormat/>
    <w:uiPriority w:val="99"/>
    <w:pPr>
      <w:shd w:val="clear" w:color="auto" w:fill="FFFFFF"/>
      <w:spacing w:line="283" w:lineRule="exact"/>
      <w:jc w:val="left"/>
    </w:pPr>
    <w:rPr>
      <w:rFonts w:ascii="Arial" w:hAnsi="Arial" w:cs="Arial"/>
      <w:b/>
      <w:bCs/>
      <w:kern w:val="0"/>
      <w:sz w:val="22"/>
      <w:szCs w:val="22"/>
    </w:rPr>
  </w:style>
  <w:style w:type="character" w:customStyle="1" w:styleId="161">
    <w:name w:val="正文文本 (3)"/>
    <w:qFormat/>
    <w:uiPriority w:val="99"/>
    <w:rPr>
      <w:rFonts w:ascii="Arial" w:hAnsi="Arial" w:cs="Arial"/>
      <w:b/>
      <w:bCs/>
      <w:color w:val="0059A0"/>
      <w:sz w:val="22"/>
      <w:szCs w:val="22"/>
      <w:u w:val="none"/>
    </w:rPr>
  </w:style>
  <w:style w:type="character" w:customStyle="1" w:styleId="162">
    <w:name w:val="标题 #3_"/>
    <w:link w:val="163"/>
    <w:qFormat/>
    <w:uiPriority w:val="99"/>
    <w:rPr>
      <w:rFonts w:ascii="Arial" w:hAnsi="Arial" w:cs="Arial"/>
      <w:b/>
      <w:bCs/>
      <w:shd w:val="clear" w:color="auto" w:fill="FFFFFF"/>
    </w:rPr>
  </w:style>
  <w:style w:type="paragraph" w:customStyle="1" w:styleId="163">
    <w:name w:val="标题 #3"/>
    <w:basedOn w:val="1"/>
    <w:link w:val="162"/>
    <w:qFormat/>
    <w:uiPriority w:val="99"/>
    <w:pPr>
      <w:shd w:val="clear" w:color="auto" w:fill="FFFFFF"/>
      <w:spacing w:line="240" w:lineRule="atLeast"/>
      <w:ind w:hanging="600"/>
      <w:outlineLvl w:val="2"/>
    </w:pPr>
    <w:rPr>
      <w:rFonts w:ascii="Arial" w:hAnsi="Arial" w:cs="Arial"/>
      <w:b/>
      <w:bCs/>
      <w:kern w:val="0"/>
      <w:sz w:val="20"/>
      <w:szCs w:val="20"/>
    </w:rPr>
  </w:style>
  <w:style w:type="character" w:customStyle="1" w:styleId="164">
    <w:name w:val="正文文本 (4)_"/>
    <w:link w:val="165"/>
    <w:qFormat/>
    <w:uiPriority w:val="99"/>
    <w:rPr>
      <w:rFonts w:ascii="Arial" w:hAnsi="Arial" w:cs="Arial"/>
      <w:sz w:val="15"/>
      <w:szCs w:val="15"/>
      <w:shd w:val="clear" w:color="auto" w:fill="FFFFFF"/>
    </w:rPr>
  </w:style>
  <w:style w:type="paragraph" w:customStyle="1" w:styleId="165">
    <w:name w:val="正文文本 (4)1"/>
    <w:basedOn w:val="1"/>
    <w:link w:val="164"/>
    <w:qFormat/>
    <w:uiPriority w:val="99"/>
    <w:pPr>
      <w:shd w:val="clear" w:color="auto" w:fill="FFFFFF"/>
      <w:spacing w:line="173" w:lineRule="exact"/>
      <w:ind w:hanging="260"/>
    </w:pPr>
    <w:rPr>
      <w:rFonts w:ascii="Arial" w:hAnsi="Arial" w:cs="Arial"/>
      <w:kern w:val="0"/>
      <w:sz w:val="15"/>
      <w:szCs w:val="15"/>
    </w:rPr>
  </w:style>
  <w:style w:type="character" w:customStyle="1" w:styleId="166">
    <w:name w:val="正文文本 (5)_"/>
    <w:link w:val="167"/>
    <w:qFormat/>
    <w:uiPriority w:val="99"/>
    <w:rPr>
      <w:rFonts w:ascii="Arial" w:hAnsi="Arial" w:cs="Arial"/>
      <w:b/>
      <w:bCs/>
      <w:shd w:val="clear" w:color="auto" w:fill="FFFFFF"/>
    </w:rPr>
  </w:style>
  <w:style w:type="paragraph" w:customStyle="1" w:styleId="167">
    <w:name w:val="正文文本 (5)"/>
    <w:basedOn w:val="1"/>
    <w:link w:val="166"/>
    <w:qFormat/>
    <w:uiPriority w:val="99"/>
    <w:pPr>
      <w:shd w:val="clear" w:color="auto" w:fill="FFFFFF"/>
      <w:spacing w:line="240" w:lineRule="atLeast"/>
    </w:pPr>
    <w:rPr>
      <w:rFonts w:ascii="Arial" w:hAnsi="Arial" w:cs="Arial"/>
      <w:b/>
      <w:bCs/>
      <w:kern w:val="0"/>
      <w:sz w:val="20"/>
      <w:szCs w:val="20"/>
    </w:rPr>
  </w:style>
  <w:style w:type="character" w:customStyle="1" w:styleId="168">
    <w:name w:val="正文文本 (7)_"/>
    <w:link w:val="169"/>
    <w:qFormat/>
    <w:uiPriority w:val="99"/>
    <w:rPr>
      <w:rFonts w:ascii="Arial" w:hAnsi="Arial" w:cs="Arial"/>
      <w:b/>
      <w:bCs/>
      <w:sz w:val="15"/>
      <w:szCs w:val="15"/>
      <w:shd w:val="clear" w:color="auto" w:fill="FFFFFF"/>
      <w:lang w:val="fr-FR" w:eastAsia="fr-FR"/>
    </w:rPr>
  </w:style>
  <w:style w:type="paragraph" w:customStyle="1" w:styleId="169">
    <w:name w:val="正文文本 (7)1"/>
    <w:basedOn w:val="1"/>
    <w:link w:val="168"/>
    <w:qFormat/>
    <w:uiPriority w:val="99"/>
    <w:pPr>
      <w:shd w:val="clear" w:color="auto" w:fill="FFFFFF"/>
      <w:spacing w:line="240" w:lineRule="atLeast"/>
    </w:pPr>
    <w:rPr>
      <w:rFonts w:ascii="Arial" w:hAnsi="Arial" w:cs="Arial"/>
      <w:b/>
      <w:bCs/>
      <w:kern w:val="0"/>
      <w:sz w:val="15"/>
      <w:szCs w:val="15"/>
      <w:lang w:val="fr-FR" w:eastAsia="fr-FR"/>
    </w:rPr>
  </w:style>
  <w:style w:type="character" w:customStyle="1" w:styleId="170">
    <w:name w:val="正文文本 (4)2"/>
    <w:qFormat/>
    <w:uiPriority w:val="99"/>
    <w:rPr>
      <w:rFonts w:ascii="Arial" w:hAnsi="Arial" w:cs="Arial"/>
      <w:color w:val="0000FD"/>
      <w:sz w:val="15"/>
      <w:szCs w:val="15"/>
      <w:u w:val="none"/>
      <w:lang w:val="fr-FR" w:eastAsia="fr-FR"/>
    </w:rPr>
  </w:style>
  <w:style w:type="character" w:customStyle="1" w:styleId="171">
    <w:name w:val="标题 #1_"/>
    <w:link w:val="172"/>
    <w:qFormat/>
    <w:uiPriority w:val="99"/>
    <w:rPr>
      <w:rFonts w:ascii="Arial" w:hAnsi="Arial" w:cs="Arial"/>
      <w:b/>
      <w:bCs/>
      <w:sz w:val="22"/>
      <w:szCs w:val="22"/>
      <w:shd w:val="clear" w:color="auto" w:fill="FFFFFF"/>
    </w:rPr>
  </w:style>
  <w:style w:type="paragraph" w:customStyle="1" w:styleId="172">
    <w:name w:val="标题 #1"/>
    <w:basedOn w:val="1"/>
    <w:link w:val="171"/>
    <w:qFormat/>
    <w:uiPriority w:val="99"/>
    <w:pPr>
      <w:shd w:val="clear" w:color="auto" w:fill="FFFFFF"/>
      <w:spacing w:line="240" w:lineRule="atLeast"/>
      <w:jc w:val="left"/>
      <w:outlineLvl w:val="0"/>
    </w:pPr>
    <w:rPr>
      <w:rFonts w:ascii="Arial" w:hAnsi="Arial" w:cs="Arial"/>
      <w:b/>
      <w:bCs/>
      <w:kern w:val="0"/>
      <w:sz w:val="22"/>
      <w:szCs w:val="22"/>
    </w:rPr>
  </w:style>
  <w:style w:type="character" w:customStyle="1" w:styleId="173">
    <w:name w:val="页眉或页脚_"/>
    <w:link w:val="174"/>
    <w:qFormat/>
    <w:uiPriority w:val="99"/>
    <w:rPr>
      <w:rFonts w:ascii="Arial" w:hAnsi="Arial" w:cs="Arial"/>
      <w:b/>
      <w:bCs/>
      <w:shd w:val="clear" w:color="auto" w:fill="FFFFFF"/>
    </w:rPr>
  </w:style>
  <w:style w:type="paragraph" w:customStyle="1" w:styleId="174">
    <w:name w:val="页眉或页脚1"/>
    <w:basedOn w:val="1"/>
    <w:link w:val="173"/>
    <w:qFormat/>
    <w:uiPriority w:val="99"/>
    <w:pPr>
      <w:shd w:val="clear" w:color="auto" w:fill="FFFFFF"/>
      <w:spacing w:line="240" w:lineRule="atLeast"/>
      <w:jc w:val="left"/>
    </w:pPr>
    <w:rPr>
      <w:rFonts w:ascii="Arial" w:hAnsi="Arial" w:cs="Arial"/>
      <w:b/>
      <w:bCs/>
      <w:kern w:val="0"/>
      <w:sz w:val="20"/>
      <w:szCs w:val="20"/>
    </w:rPr>
  </w:style>
  <w:style w:type="character" w:customStyle="1" w:styleId="175">
    <w:name w:val="页眉或页脚 + 间距 2 pt"/>
    <w:qFormat/>
    <w:uiPriority w:val="99"/>
    <w:rPr>
      <w:rFonts w:ascii="Arial" w:hAnsi="Arial" w:cs="Arial"/>
      <w:b/>
      <w:bCs/>
      <w:spacing w:val="50"/>
      <w:sz w:val="20"/>
      <w:szCs w:val="20"/>
      <w:u w:val="none"/>
    </w:rPr>
  </w:style>
  <w:style w:type="character" w:customStyle="1" w:styleId="176">
    <w:name w:val="页眉或页脚"/>
    <w:qFormat/>
    <w:uiPriority w:val="99"/>
  </w:style>
  <w:style w:type="character" w:customStyle="1" w:styleId="177">
    <w:name w:val="TOC 1 字符"/>
    <w:link w:val="25"/>
    <w:qFormat/>
    <w:uiPriority w:val="39"/>
    <w:rPr>
      <w:rFonts w:ascii="宋体"/>
      <w:kern w:val="2"/>
      <w:sz w:val="21"/>
      <w:szCs w:val="21"/>
    </w:rPr>
  </w:style>
  <w:style w:type="character" w:customStyle="1" w:styleId="178">
    <w:name w:val="正文文本 (2)_"/>
    <w:link w:val="179"/>
    <w:qFormat/>
    <w:uiPriority w:val="99"/>
    <w:rPr>
      <w:rFonts w:ascii="Arial" w:hAnsi="Arial" w:eastAsia="MingLiU_HKSCS" w:cs="Arial"/>
      <w:kern w:val="0"/>
      <w:sz w:val="19"/>
      <w:szCs w:val="19"/>
    </w:rPr>
  </w:style>
  <w:style w:type="paragraph" w:customStyle="1" w:styleId="179">
    <w:name w:val="正文文本 (2)1"/>
    <w:basedOn w:val="1"/>
    <w:link w:val="178"/>
    <w:qFormat/>
    <w:uiPriority w:val="99"/>
    <w:pPr>
      <w:shd w:val="clear" w:color="auto" w:fill="FFFFFF"/>
      <w:spacing w:line="240" w:lineRule="atLeast"/>
      <w:ind w:hanging="320"/>
      <w:jc w:val="left"/>
    </w:pPr>
    <w:rPr>
      <w:rFonts w:ascii="Arial" w:hAnsi="Arial" w:eastAsia="MingLiU_HKSCS" w:cs="Arial"/>
      <w:kern w:val="0"/>
      <w:sz w:val="19"/>
      <w:szCs w:val="19"/>
    </w:rPr>
  </w:style>
  <w:style w:type="paragraph" w:customStyle="1" w:styleId="180">
    <w:name w:val="正文文本 (2)"/>
    <w:basedOn w:val="1"/>
    <w:qFormat/>
    <w:uiPriority w:val="99"/>
    <w:pPr>
      <w:shd w:val="clear" w:color="auto" w:fill="FFFFFF"/>
      <w:spacing w:line="216" w:lineRule="exact"/>
      <w:ind w:hanging="600"/>
    </w:pPr>
    <w:rPr>
      <w:rFonts w:ascii="Arial" w:hAnsi="Arial" w:cs="Arial"/>
      <w:kern w:val="0"/>
      <w:sz w:val="20"/>
      <w:szCs w:val="20"/>
    </w:rPr>
  </w:style>
  <w:style w:type="character" w:customStyle="1" w:styleId="181">
    <w:name w:val="正文文本 (2) + 7.5 pt"/>
    <w:qFormat/>
    <w:uiPriority w:val="99"/>
    <w:rPr>
      <w:rFonts w:ascii="Arial" w:hAnsi="Arial" w:cs="Arial"/>
      <w:sz w:val="15"/>
      <w:szCs w:val="15"/>
      <w:u w:val="none"/>
    </w:rPr>
  </w:style>
  <w:style w:type="character" w:customStyle="1" w:styleId="182">
    <w:name w:val="正文文本 (2) + 斜体"/>
    <w:qFormat/>
    <w:uiPriority w:val="99"/>
    <w:rPr>
      <w:rFonts w:ascii="Arial" w:hAnsi="Arial" w:cs="Arial"/>
      <w:i/>
      <w:iCs/>
      <w:sz w:val="20"/>
      <w:szCs w:val="20"/>
      <w:u w:val="none"/>
    </w:rPr>
  </w:style>
  <w:style w:type="character" w:customStyle="1" w:styleId="183">
    <w:name w:val="正文文本 (2) + 粗体"/>
    <w:qFormat/>
    <w:uiPriority w:val="99"/>
    <w:rPr>
      <w:rFonts w:ascii="Arial" w:hAnsi="Arial" w:cs="Arial"/>
      <w:b/>
      <w:bCs/>
      <w:sz w:val="20"/>
      <w:szCs w:val="20"/>
      <w:u w:val="none"/>
    </w:rPr>
  </w:style>
  <w:style w:type="character" w:customStyle="1" w:styleId="184">
    <w:name w:val="正文文本 (2) + 7.5 pt6"/>
    <w:qFormat/>
    <w:uiPriority w:val="99"/>
    <w:rPr>
      <w:rFonts w:ascii="Arial" w:hAnsi="Arial" w:cs="Arial"/>
      <w:i/>
      <w:iCs/>
      <w:sz w:val="15"/>
      <w:szCs w:val="15"/>
      <w:u w:val="none"/>
    </w:rPr>
  </w:style>
  <w:style w:type="character" w:customStyle="1" w:styleId="185">
    <w:name w:val="表格标题_"/>
    <w:link w:val="186"/>
    <w:qFormat/>
    <w:uiPriority w:val="99"/>
    <w:rPr>
      <w:rFonts w:ascii="Arial" w:hAnsi="Arial" w:cs="Arial"/>
      <w:b/>
      <w:bCs/>
      <w:shd w:val="clear" w:color="auto" w:fill="FFFFFF"/>
    </w:rPr>
  </w:style>
  <w:style w:type="paragraph" w:customStyle="1" w:styleId="186">
    <w:name w:val="表格标题"/>
    <w:basedOn w:val="1"/>
    <w:link w:val="185"/>
    <w:qFormat/>
    <w:uiPriority w:val="99"/>
    <w:pPr>
      <w:shd w:val="clear" w:color="auto" w:fill="FFFFFF"/>
      <w:spacing w:line="240" w:lineRule="atLeast"/>
      <w:jc w:val="center"/>
    </w:pPr>
    <w:rPr>
      <w:rFonts w:ascii="Arial" w:hAnsi="Arial" w:cs="Arial"/>
      <w:b/>
      <w:bCs/>
      <w:kern w:val="0"/>
      <w:sz w:val="20"/>
      <w:szCs w:val="20"/>
    </w:rPr>
  </w:style>
  <w:style w:type="character" w:customStyle="1" w:styleId="187">
    <w:name w:val="正文文本 (2) + 7.5 pt5"/>
    <w:qFormat/>
    <w:uiPriority w:val="99"/>
    <w:rPr>
      <w:rFonts w:ascii="Arial" w:hAnsi="Arial" w:cs="Arial"/>
      <w:b/>
      <w:bCs/>
      <w:sz w:val="15"/>
      <w:szCs w:val="15"/>
      <w:u w:val="none"/>
    </w:rPr>
  </w:style>
  <w:style w:type="character" w:customStyle="1" w:styleId="188">
    <w:name w:val="标题 #2_"/>
    <w:link w:val="189"/>
    <w:qFormat/>
    <w:uiPriority w:val="99"/>
    <w:rPr>
      <w:rFonts w:ascii="Arial" w:hAnsi="Arial" w:cs="Arial"/>
      <w:b/>
      <w:bCs/>
      <w:sz w:val="22"/>
      <w:szCs w:val="22"/>
      <w:shd w:val="clear" w:color="auto" w:fill="FFFFFF"/>
    </w:rPr>
  </w:style>
  <w:style w:type="paragraph" w:customStyle="1" w:styleId="189">
    <w:name w:val="标题 #2"/>
    <w:basedOn w:val="1"/>
    <w:link w:val="188"/>
    <w:qFormat/>
    <w:uiPriority w:val="99"/>
    <w:pPr>
      <w:shd w:val="clear" w:color="auto" w:fill="FFFFFF"/>
      <w:spacing w:line="240" w:lineRule="atLeast"/>
      <w:ind w:hanging="320"/>
      <w:outlineLvl w:val="1"/>
    </w:pPr>
    <w:rPr>
      <w:rFonts w:ascii="Arial" w:hAnsi="Arial" w:cs="Arial"/>
      <w:b/>
      <w:bCs/>
      <w:kern w:val="0"/>
      <w:sz w:val="22"/>
      <w:szCs w:val="22"/>
    </w:rPr>
  </w:style>
  <w:style w:type="character" w:customStyle="1" w:styleId="190">
    <w:name w:val="正文文本 (8)_"/>
    <w:link w:val="191"/>
    <w:qFormat/>
    <w:uiPriority w:val="99"/>
    <w:rPr>
      <w:rFonts w:ascii="Arial" w:hAnsi="Arial" w:cs="Arial"/>
      <w:i/>
      <w:iCs/>
      <w:shd w:val="clear" w:color="auto" w:fill="FFFFFF"/>
    </w:rPr>
  </w:style>
  <w:style w:type="paragraph" w:customStyle="1" w:styleId="191">
    <w:name w:val="正文文本 (8)"/>
    <w:basedOn w:val="1"/>
    <w:link w:val="190"/>
    <w:qFormat/>
    <w:uiPriority w:val="99"/>
    <w:pPr>
      <w:shd w:val="clear" w:color="auto" w:fill="FFFFFF"/>
      <w:spacing w:line="240" w:lineRule="exact"/>
    </w:pPr>
    <w:rPr>
      <w:rFonts w:ascii="Arial" w:hAnsi="Arial" w:cs="Arial"/>
      <w:i/>
      <w:iCs/>
      <w:kern w:val="0"/>
      <w:sz w:val="20"/>
      <w:szCs w:val="20"/>
    </w:rPr>
  </w:style>
  <w:style w:type="character" w:customStyle="1" w:styleId="192">
    <w:name w:val="正文文本 (8) + 非斜体"/>
    <w:qFormat/>
    <w:uiPriority w:val="99"/>
    <w:rPr>
      <w:rFonts w:ascii="Arial" w:hAnsi="Arial" w:cs="Arial"/>
      <w:sz w:val="20"/>
      <w:szCs w:val="20"/>
      <w:u w:val="none"/>
    </w:rPr>
  </w:style>
  <w:style w:type="character" w:customStyle="1" w:styleId="193">
    <w:name w:val="标题 #2 (2)_"/>
    <w:link w:val="194"/>
    <w:qFormat/>
    <w:uiPriority w:val="99"/>
    <w:rPr>
      <w:rFonts w:ascii="Arial" w:hAnsi="Arial" w:cs="Arial"/>
      <w:b/>
      <w:bCs/>
      <w:shd w:val="clear" w:color="auto" w:fill="FFFFFF"/>
    </w:rPr>
  </w:style>
  <w:style w:type="paragraph" w:customStyle="1" w:styleId="194">
    <w:name w:val="标题 #2 (2)"/>
    <w:basedOn w:val="1"/>
    <w:link w:val="193"/>
    <w:qFormat/>
    <w:uiPriority w:val="99"/>
    <w:pPr>
      <w:shd w:val="clear" w:color="auto" w:fill="FFFFFF"/>
      <w:spacing w:line="499" w:lineRule="exact"/>
      <w:ind w:hanging="340"/>
      <w:outlineLvl w:val="1"/>
    </w:pPr>
    <w:rPr>
      <w:rFonts w:ascii="Arial" w:hAnsi="Arial" w:cs="Arial"/>
      <w:b/>
      <w:bCs/>
      <w:kern w:val="0"/>
      <w:sz w:val="20"/>
      <w:szCs w:val="20"/>
    </w:rPr>
  </w:style>
  <w:style w:type="character" w:customStyle="1" w:styleId="195">
    <w:name w:val="正文文本 (2) + 粗体1"/>
    <w:qFormat/>
    <w:uiPriority w:val="99"/>
    <w:rPr>
      <w:rFonts w:ascii="Arial" w:hAnsi="Arial" w:cs="Arial"/>
      <w:b/>
      <w:bCs/>
      <w:sz w:val="20"/>
      <w:szCs w:val="20"/>
      <w:u w:val="none"/>
    </w:rPr>
  </w:style>
  <w:style w:type="character" w:customStyle="1" w:styleId="196">
    <w:name w:val="正文文本 (2) + 间距 2 pt"/>
    <w:qFormat/>
    <w:uiPriority w:val="99"/>
    <w:rPr>
      <w:rFonts w:ascii="Arial" w:hAnsi="Arial" w:cs="Arial"/>
      <w:spacing w:val="40"/>
      <w:sz w:val="20"/>
      <w:szCs w:val="20"/>
      <w:u w:val="none"/>
    </w:rPr>
  </w:style>
  <w:style w:type="character" w:customStyle="1" w:styleId="197">
    <w:name w:val="表格标题 (2)_"/>
    <w:link w:val="198"/>
    <w:qFormat/>
    <w:uiPriority w:val="99"/>
    <w:rPr>
      <w:rFonts w:ascii="Arial" w:hAnsi="Arial" w:cs="Arial"/>
      <w:sz w:val="15"/>
      <w:szCs w:val="15"/>
      <w:shd w:val="clear" w:color="auto" w:fill="FFFFFF"/>
    </w:rPr>
  </w:style>
  <w:style w:type="paragraph" w:customStyle="1" w:styleId="198">
    <w:name w:val="表格标题 (2)"/>
    <w:basedOn w:val="1"/>
    <w:link w:val="197"/>
    <w:qFormat/>
    <w:uiPriority w:val="99"/>
    <w:pPr>
      <w:shd w:val="clear" w:color="auto" w:fill="FFFFFF"/>
      <w:spacing w:line="173" w:lineRule="exact"/>
      <w:jc w:val="left"/>
    </w:pPr>
    <w:rPr>
      <w:rFonts w:ascii="Arial" w:hAnsi="Arial" w:cs="Arial"/>
      <w:kern w:val="0"/>
      <w:sz w:val="15"/>
      <w:szCs w:val="15"/>
    </w:rPr>
  </w:style>
  <w:style w:type="character" w:customStyle="1" w:styleId="199">
    <w:name w:val="正文文本 (2) + Trebuchet MS"/>
    <w:qFormat/>
    <w:uiPriority w:val="99"/>
    <w:rPr>
      <w:rFonts w:ascii="Trebuchet MS" w:hAnsi="Trebuchet MS" w:cs="Trebuchet MS"/>
      <w:w w:val="100"/>
      <w:sz w:val="8"/>
      <w:szCs w:val="8"/>
      <w:u w:val="none"/>
    </w:rPr>
  </w:style>
  <w:style w:type="character" w:customStyle="1" w:styleId="200">
    <w:name w:val="正文文本 (2) + 7.5 pt4"/>
    <w:qFormat/>
    <w:uiPriority w:val="99"/>
    <w:rPr>
      <w:rFonts w:ascii="Arial" w:hAnsi="Arial" w:cs="Arial"/>
      <w:smallCaps/>
      <w:sz w:val="15"/>
      <w:szCs w:val="15"/>
      <w:u w:val="none"/>
    </w:rPr>
  </w:style>
  <w:style w:type="character" w:customStyle="1" w:styleId="201">
    <w:name w:val="正文文本 (2) + 7.5 pt3"/>
    <w:qFormat/>
    <w:uiPriority w:val="99"/>
    <w:rPr>
      <w:rFonts w:ascii="Arial" w:hAnsi="Arial" w:cs="Arial"/>
      <w:sz w:val="15"/>
      <w:szCs w:val="15"/>
      <w:u w:val="none"/>
    </w:rPr>
  </w:style>
  <w:style w:type="character" w:customStyle="1" w:styleId="202">
    <w:name w:val="图片标题_"/>
    <w:link w:val="203"/>
    <w:qFormat/>
    <w:uiPriority w:val="99"/>
    <w:rPr>
      <w:rFonts w:ascii="Arial" w:hAnsi="Arial" w:cs="Arial"/>
      <w:b/>
      <w:bCs/>
      <w:shd w:val="clear" w:color="auto" w:fill="FFFFFF"/>
    </w:rPr>
  </w:style>
  <w:style w:type="paragraph" w:customStyle="1" w:styleId="203">
    <w:name w:val="图片标题1"/>
    <w:basedOn w:val="1"/>
    <w:link w:val="202"/>
    <w:qFormat/>
    <w:uiPriority w:val="99"/>
    <w:pPr>
      <w:shd w:val="clear" w:color="auto" w:fill="FFFFFF"/>
      <w:spacing w:line="240" w:lineRule="atLeast"/>
      <w:jc w:val="left"/>
    </w:pPr>
    <w:rPr>
      <w:rFonts w:ascii="Arial" w:hAnsi="Arial" w:cs="Arial"/>
      <w:b/>
      <w:bCs/>
      <w:kern w:val="0"/>
      <w:sz w:val="20"/>
      <w:szCs w:val="20"/>
    </w:rPr>
  </w:style>
  <w:style w:type="character" w:customStyle="1" w:styleId="204">
    <w:name w:val="正文文本 (2) + 7.5 pt2"/>
    <w:qFormat/>
    <w:uiPriority w:val="99"/>
    <w:rPr>
      <w:rFonts w:ascii="Arial" w:hAnsi="Arial" w:cs="Arial"/>
      <w:b/>
      <w:bCs/>
      <w:sz w:val="15"/>
      <w:szCs w:val="15"/>
      <w:u w:val="none"/>
    </w:rPr>
  </w:style>
  <w:style w:type="character" w:customStyle="1" w:styleId="205">
    <w:name w:val="表格标题 (3)_"/>
    <w:link w:val="206"/>
    <w:qFormat/>
    <w:uiPriority w:val="99"/>
    <w:rPr>
      <w:rFonts w:ascii="Arial" w:hAnsi="Arial" w:cs="Arial"/>
      <w:b/>
      <w:bCs/>
      <w:i/>
      <w:iCs/>
      <w:sz w:val="11"/>
      <w:szCs w:val="11"/>
      <w:shd w:val="clear" w:color="auto" w:fill="FFFFFF"/>
      <w:lang w:val="fr-FR" w:eastAsia="fr-FR"/>
    </w:rPr>
  </w:style>
  <w:style w:type="paragraph" w:customStyle="1" w:styleId="206">
    <w:name w:val="表格标题 (3)"/>
    <w:basedOn w:val="1"/>
    <w:link w:val="205"/>
    <w:qFormat/>
    <w:uiPriority w:val="99"/>
    <w:pPr>
      <w:shd w:val="clear" w:color="auto" w:fill="FFFFFF"/>
      <w:spacing w:line="240" w:lineRule="atLeast"/>
      <w:jc w:val="left"/>
    </w:pPr>
    <w:rPr>
      <w:rFonts w:ascii="Arial" w:hAnsi="Arial" w:cs="Arial"/>
      <w:b/>
      <w:bCs/>
      <w:i/>
      <w:iCs/>
      <w:kern w:val="0"/>
      <w:sz w:val="11"/>
      <w:szCs w:val="11"/>
      <w:lang w:val="fr-FR" w:eastAsia="fr-FR"/>
    </w:rPr>
  </w:style>
  <w:style w:type="character" w:customStyle="1" w:styleId="207">
    <w:name w:val="正文文本 (2) + 7.5 pt1"/>
    <w:qFormat/>
    <w:uiPriority w:val="99"/>
    <w:rPr>
      <w:rFonts w:ascii="Arial" w:hAnsi="Arial" w:cs="Arial"/>
      <w:b/>
      <w:bCs/>
      <w:sz w:val="15"/>
      <w:szCs w:val="15"/>
      <w:u w:val="none"/>
    </w:rPr>
  </w:style>
  <w:style w:type="character" w:customStyle="1" w:styleId="208">
    <w:name w:val="正文文本 (2) + 5.5 pt"/>
    <w:qFormat/>
    <w:uiPriority w:val="99"/>
    <w:rPr>
      <w:rFonts w:ascii="Arial" w:hAnsi="Arial" w:cs="Arial"/>
      <w:b/>
      <w:bCs/>
      <w:i/>
      <w:iCs/>
      <w:sz w:val="11"/>
      <w:szCs w:val="11"/>
      <w:u w:val="none"/>
    </w:rPr>
  </w:style>
  <w:style w:type="character" w:customStyle="1" w:styleId="209">
    <w:name w:val="图片标题"/>
    <w:qFormat/>
    <w:uiPriority w:val="99"/>
    <w:rPr>
      <w:rFonts w:ascii="Arial" w:hAnsi="Arial" w:cs="Arial"/>
      <w:b/>
      <w:bCs/>
      <w:sz w:val="20"/>
      <w:szCs w:val="20"/>
      <w:u w:val="none"/>
    </w:rPr>
  </w:style>
  <w:style w:type="character" w:customStyle="1" w:styleId="210">
    <w:name w:val="图片标题 (2)_"/>
    <w:link w:val="211"/>
    <w:qFormat/>
    <w:uiPriority w:val="99"/>
    <w:rPr>
      <w:rFonts w:ascii="Arial" w:hAnsi="Arial" w:cs="Arial"/>
      <w:b/>
      <w:bCs/>
      <w:sz w:val="15"/>
      <w:szCs w:val="15"/>
      <w:shd w:val="clear" w:color="auto" w:fill="FFFFFF"/>
    </w:rPr>
  </w:style>
  <w:style w:type="paragraph" w:customStyle="1" w:styleId="211">
    <w:name w:val="图片标题 (2)"/>
    <w:basedOn w:val="1"/>
    <w:link w:val="210"/>
    <w:qFormat/>
    <w:uiPriority w:val="99"/>
    <w:pPr>
      <w:shd w:val="clear" w:color="auto" w:fill="FFFFFF"/>
      <w:spacing w:line="240" w:lineRule="atLeast"/>
      <w:jc w:val="left"/>
    </w:pPr>
    <w:rPr>
      <w:rFonts w:ascii="Arial" w:hAnsi="Arial" w:cs="Arial"/>
      <w:b/>
      <w:bCs/>
      <w:kern w:val="0"/>
      <w:sz w:val="15"/>
      <w:szCs w:val="15"/>
    </w:rPr>
  </w:style>
  <w:style w:type="character" w:customStyle="1" w:styleId="212">
    <w:name w:val="页眉 字符"/>
    <w:link w:val="24"/>
    <w:qFormat/>
    <w:uiPriority w:val="99"/>
    <w:rPr>
      <w:kern w:val="2"/>
      <w:sz w:val="18"/>
      <w:szCs w:val="18"/>
    </w:rPr>
  </w:style>
  <w:style w:type="character" w:customStyle="1" w:styleId="213">
    <w:name w:val="页脚 字符"/>
    <w:link w:val="23"/>
    <w:qFormat/>
    <w:uiPriority w:val="99"/>
    <w:rPr>
      <w:kern w:val="2"/>
      <w:sz w:val="18"/>
      <w:szCs w:val="18"/>
    </w:rPr>
  </w:style>
  <w:style w:type="paragraph" w:customStyle="1" w:styleId="214">
    <w:name w:val="正文文本 (6)1"/>
    <w:basedOn w:val="1"/>
    <w:qFormat/>
    <w:uiPriority w:val="99"/>
    <w:pPr>
      <w:shd w:val="clear" w:color="auto" w:fill="FFFFFF"/>
      <w:spacing w:line="101" w:lineRule="exact"/>
    </w:pPr>
    <w:rPr>
      <w:rFonts w:ascii="Arial" w:hAnsi="Arial" w:eastAsia="MingLiU_HKSCS" w:cs="Arial"/>
      <w:kern w:val="0"/>
      <w:sz w:val="8"/>
      <w:szCs w:val="8"/>
      <w:lang w:val="fr-FR" w:eastAsia="fr-FR"/>
    </w:rPr>
  </w:style>
  <w:style w:type="paragraph" w:customStyle="1" w:styleId="215">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16">
    <w:name w:val="批注文字 字符"/>
    <w:basedOn w:val="37"/>
    <w:link w:val="6"/>
    <w:qFormat/>
    <w:uiPriority w:val="99"/>
    <w:rPr>
      <w:rFonts w:ascii="MingLiU_HKSCS" w:hAnsi="MingLiU_HKSCS" w:eastAsia="MingLiU_HKSCS" w:cs="MingLiU_HKSCS"/>
      <w:color w:val="000000"/>
      <w:sz w:val="24"/>
      <w:szCs w:val="24"/>
      <w:lang w:eastAsia="en-US"/>
    </w:rPr>
  </w:style>
  <w:style w:type="character" w:customStyle="1" w:styleId="217">
    <w:name w:val="批注主题 字符"/>
    <w:basedOn w:val="216"/>
    <w:link w:val="5"/>
    <w:qFormat/>
    <w:uiPriority w:val="99"/>
    <w:rPr>
      <w:rFonts w:ascii="MingLiU_HKSCS" w:hAnsi="MingLiU_HKSCS" w:eastAsia="MingLiU_HKSCS" w:cs="MingLiU_HKSCS"/>
      <w:b/>
      <w:bCs/>
      <w:color w:val="000000"/>
      <w:sz w:val="24"/>
      <w:szCs w:val="24"/>
      <w:lang w:eastAsia="en-US"/>
    </w:rPr>
  </w:style>
  <w:style w:type="paragraph" w:customStyle="1" w:styleId="218">
    <w:name w:val="修订1"/>
    <w:hidden/>
    <w:semiHidden/>
    <w:qFormat/>
    <w:uiPriority w:val="99"/>
    <w:rPr>
      <w:rFonts w:ascii="MingLiU_HKSCS" w:hAnsi="MingLiU_HKSCS" w:eastAsia="MingLiU_HKSCS" w:cs="MingLiU_HKSCS"/>
      <w:color w:val="000000"/>
      <w:sz w:val="24"/>
      <w:szCs w:val="24"/>
      <w:lang w:val="en-US" w:eastAsia="en-US" w:bidi="ar-SA"/>
    </w:rPr>
  </w:style>
  <w:style w:type="character" w:customStyle="1" w:styleId="219">
    <w:name w:val="正文文本 (9) + 非斜体"/>
    <w:qFormat/>
    <w:uiPriority w:val="99"/>
    <w:rPr>
      <w:rFonts w:ascii="Arial" w:hAnsi="Arial" w:cs="Arial"/>
      <w:sz w:val="20"/>
      <w:szCs w:val="20"/>
      <w:u w:val="none"/>
    </w:rPr>
  </w:style>
  <w:style w:type="paragraph" w:customStyle="1" w:styleId="2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6.jpeg"/><Relationship Id="rId21" Type="http://schemas.openxmlformats.org/officeDocument/2006/relationships/image" Target="media/image5.jpeg"/><Relationship Id="rId20" Type="http://schemas.openxmlformats.org/officeDocument/2006/relationships/image" Target="media/image4.jpeg"/><Relationship Id="rId2" Type="http://schemas.openxmlformats.org/officeDocument/2006/relationships/settings" Target="settings.xml"/><Relationship Id="rId19" Type="http://schemas.openxmlformats.org/officeDocument/2006/relationships/image" Target="media/image3.jpeg"/><Relationship Id="rId18" Type="http://schemas.openxmlformats.org/officeDocument/2006/relationships/image" Target="media/image2.wmf"/><Relationship Id="rId17" Type="http://schemas.openxmlformats.org/officeDocument/2006/relationships/oleObject" Target="embeddings/oleObject1.bin"/><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18ABE8-C70D-4668-9CFA-C92AF184829C}">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Pages>
  <Words>11682</Words>
  <Characters>12735</Characters>
  <Lines>979</Lines>
  <Paragraphs>1285</Paragraphs>
  <TotalTime>29</TotalTime>
  <ScaleCrop>false</ScaleCrop>
  <LinksUpToDate>false</LinksUpToDate>
  <CharactersWithSpaces>23132</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2017-11-03T00:54:00Z</dcterms:created>
  <dc:creator>幸苑娜</dc:creator>
  <cp:lastModifiedBy>HP</cp:lastModifiedBy>
  <cp:lastPrinted>2016-02-26T02:17:00Z</cp:lastPrinted>
  <dcterms:modified xsi:type="dcterms:W3CDTF">2023-08-11T01:43:14Z</dcterms:modified>
  <dc:title>标准名称</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