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8"/>
        <w:pBdr>
          <w:top w:val="none" w:color="auto" w:sz="0" w:space="0"/>
          <w:left w:val="none" w:color="auto" w:sz="0" w:space="0"/>
          <w:bottom w:val="none" w:color="auto" w:sz="0" w:space="0"/>
          <w:right w:val="none" w:color="auto" w:sz="0" w:space="0"/>
        </w:pBdr>
      </w:pPr>
      <w:bookmarkStart w:id="0" w:name="WXFLH"/>
      <w:r>
        <w:t>ICS</w:t>
      </w:r>
      <w:r>
        <w:rPr>
          <w:rFonts w:hint="eastAsia"/>
        </w:rPr>
        <w:t xml:space="preserve"> 13.020.01；43.040.10</w:t>
      </w:r>
    </w:p>
    <w:p>
      <w:pPr>
        <w:pStyle w:val="128"/>
      </w:pPr>
      <w:r>
        <w:rPr>
          <w:rFonts w:ascii="Times New Roman"/>
        </w:rPr>
        <w:t>L10</w:t>
      </w:r>
      <w:bookmarkEnd w:id="0"/>
    </w:p>
    <w:p>
      <w:pPr>
        <w:pStyle w:val="128"/>
      </w:pPr>
    </w:p>
    <w:p>
      <w:pPr>
        <w:pStyle w:val="71"/>
      </w:pPr>
      <w:r>
        <w:drawing>
          <wp:inline distT="0" distB="0" distL="0" distR="0">
            <wp:extent cx="1439545" cy="719455"/>
            <wp:effectExtent l="0" t="0" r="8255" b="4445"/>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439545" cy="719455"/>
                    </a:xfrm>
                    <a:prstGeom prst="rect">
                      <a:avLst/>
                    </a:prstGeom>
                    <a:noFill/>
                    <a:ln>
                      <a:noFill/>
                    </a:ln>
                  </pic:spPr>
                </pic:pic>
              </a:graphicData>
            </a:graphic>
          </wp:inline>
        </w:drawing>
      </w:r>
    </w:p>
    <w:p>
      <w:pPr>
        <w:pStyle w:val="72"/>
      </w:pPr>
      <w:r>
        <w:rPr>
          <w:rFonts w:hint="eastAsia"/>
        </w:rPr>
        <w:t>中华人民共和国国家标准</w:t>
      </w:r>
    </w:p>
    <w:p>
      <w:pPr>
        <w:pStyle w:val="52"/>
        <w:wordWrap w:val="0"/>
      </w:pPr>
      <w:r>
        <w:rPr>
          <w:rFonts w:ascii="Times New Roman"/>
        </w:rPr>
        <w:t xml:space="preserve">GB/T </w:t>
      </w:r>
      <w:r>
        <w:rPr>
          <w:rFonts w:hint="eastAsia" w:ascii="Times New Roman"/>
        </w:rPr>
        <w:t>39560.9</w:t>
      </w:r>
      <w:r>
        <w:t>—</w:t>
      </w:r>
      <w:bookmarkStart w:id="1"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1"/>
      <w:r>
        <w:rPr>
          <w:rFonts w:hint="eastAsia"/>
        </w:rPr>
        <w:t>/IEC 62321-9:2021</w:t>
      </w:r>
    </w:p>
    <w:tbl>
      <w:tblPr>
        <w:tblStyle w:val="37"/>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81"/>
              <w:rPr>
                <w:sz w:val="18"/>
                <w:szCs w:val="18"/>
              </w:rPr>
            </w:pPr>
            <w:bookmarkStart w:id="2" w:name="DT"/>
            <w:r>
              <w:rPr>
                <w:sz w:val="18"/>
                <w:szCs w:val="18"/>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7"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mDyy9YAAAAIAQAADwAAAAAAAAABACAAAAAiAAAA&#10;ZHJzL2Rvd25yZXYueG1sUEsBAhQAFAAAAAgAh07iQKeLDiwJAgAAIAQAAA4AAAAAAAAAAQAgAAAA&#10;JQEAAGRycy9lMm9Eb2MueG1sUEsFBgAAAAAGAAYAWQEAAKAFAAAAAA==&#10;">
                      <v:fill on="t" focussize="0,0"/>
                      <v:stroke on="f"/>
                      <v:imagedata o:title=""/>
                      <o:lock v:ext="edit" aspectratio="f"/>
                    </v:rect>
                  </w:pict>
                </mc:Fallback>
              </mc:AlternateContent>
            </w:r>
            <w:r>
              <w:rPr>
                <w:sz w:val="18"/>
                <w:szCs w:val="18"/>
              </w:rPr>
              <w:fldChar w:fldCharType="begin">
                <w:ffData>
                  <w:name w:val="DT"/>
                  <w:enabled/>
                  <w:calcOnExit w:val="0"/>
                  <w:entryMacro w:val="ShowHelp4"/>
                  <w:textInput/>
                </w:ffData>
              </w:fldChar>
            </w:r>
            <w:r>
              <w:rPr>
                <w:sz w:val="18"/>
                <w:szCs w:val="18"/>
              </w:rPr>
              <w:instrText xml:space="preserve"> FORMTEXT </w:instrText>
            </w:r>
            <w:r>
              <w:rPr>
                <w:sz w:val="18"/>
                <w:szCs w:val="18"/>
              </w:rPr>
              <w:fldChar w:fldCharType="separate"/>
            </w:r>
            <w:r>
              <w:rPr>
                <w:sz w:val="18"/>
                <w:szCs w:val="18"/>
              </w:rPr>
              <w:t>     </w:t>
            </w:r>
            <w:r>
              <w:rPr>
                <w:sz w:val="18"/>
                <w:szCs w:val="18"/>
              </w:rPr>
              <w:fldChar w:fldCharType="end"/>
            </w:r>
            <w:bookmarkEnd w:id="2"/>
          </w:p>
        </w:tc>
      </w:tr>
    </w:tbl>
    <w:p>
      <w:pPr>
        <w:pStyle w:val="52"/>
      </w:pPr>
    </w:p>
    <w:p>
      <w:pPr>
        <w:pStyle w:val="52"/>
      </w:pPr>
    </w:p>
    <w:p>
      <w:pPr>
        <w:pStyle w:val="83"/>
        <w:ind w:firstLine="420"/>
      </w:pPr>
      <w:r>
        <w:rPr>
          <w:rFonts w:hint="eastAsia"/>
        </w:rPr>
        <w:t>电子电气产品中某些物质的测定 第9部分：气相色谱</w:t>
      </w:r>
      <w:r>
        <w:rPr>
          <w:rFonts w:hint="eastAsia"/>
          <w:lang w:val="en-US" w:eastAsia="zh-CN"/>
        </w:rPr>
        <w:t>-</w:t>
      </w:r>
      <w:r>
        <w:rPr>
          <w:rFonts w:hint="eastAsia"/>
        </w:rPr>
        <w:t>质</w:t>
      </w:r>
      <w:r>
        <w:rPr>
          <w:rFonts w:hint="eastAsia"/>
          <w:highlight w:val="none"/>
        </w:rPr>
        <w:t>谱法(GC-MS)测定聚合物中的六溴环十</w:t>
      </w:r>
      <w:r>
        <w:rPr>
          <w:rFonts w:hint="eastAsia"/>
        </w:rPr>
        <w:t>二烷</w:t>
      </w:r>
    </w:p>
    <w:p>
      <w:pPr>
        <w:pStyle w:val="84"/>
        <w:ind w:firstLine="420"/>
        <w:rPr>
          <w:highlight w:val="none"/>
          <w:lang w:val="fr-FR"/>
        </w:rPr>
      </w:pPr>
      <w:r>
        <w:rPr>
          <w:rFonts w:hint="eastAsia"/>
          <w:highlight w:val="none"/>
        </w:rPr>
        <w:t xml:space="preserve">Determination of certain substances in electrical and electronic products - Part 9: Hexabromocyclododecane in polymers by gas chromatography-mass spectrometry (GC-MS) </w:t>
      </w:r>
      <w:r>
        <w:rPr>
          <w:highlight w:val="none"/>
          <w:lang w:val="fr-FR"/>
        </w:rPr>
        <w:t xml:space="preserve"> </w:t>
      </w:r>
    </w:p>
    <w:p>
      <w:pPr>
        <w:pStyle w:val="84"/>
        <w:ind w:firstLine="420"/>
        <w:rPr>
          <w:rFonts w:hint="eastAsia" w:eastAsia="黑体"/>
          <w:highlight w:val="none"/>
          <w:lang w:val="en-US" w:eastAsia="zh-CN"/>
        </w:rPr>
      </w:pPr>
      <w:r>
        <w:rPr>
          <w:rFonts w:hint="eastAsia"/>
          <w:highlight w:val="none"/>
          <w:lang w:val="en-US" w:eastAsia="zh-CN"/>
        </w:rPr>
        <w:t>[</w:t>
      </w:r>
      <w:r>
        <w:rPr>
          <w:rFonts w:hint="eastAsia"/>
          <w:highlight w:val="none"/>
          <w:lang w:val="fr-FR"/>
        </w:rPr>
        <w:t>IEC 62321-9：2021，Determination of certain substances in electrotechnical products Part 9 Hexabromocyclododecane in polymers by gas chromatography-mass spectrometry (GC-MS)</w:t>
      </w:r>
      <w:r>
        <w:rPr>
          <w:rFonts w:hint="eastAsia"/>
          <w:highlight w:val="none"/>
          <w:lang w:val="en-US" w:eastAsia="zh-CN"/>
        </w:rPr>
        <w:t>,</w:t>
      </w:r>
      <w:r>
        <w:rPr>
          <w:rFonts w:hint="eastAsia"/>
          <w:highlight w:val="none"/>
          <w:lang w:val="fr-FR"/>
        </w:rPr>
        <w:t xml:space="preserve"> IDT</w:t>
      </w:r>
      <w:r>
        <w:rPr>
          <w:rFonts w:hint="eastAsia"/>
          <w:highlight w:val="none"/>
          <w:lang w:val="en-US" w:eastAsia="zh-CN"/>
        </w:rPr>
        <w:t>]</w:t>
      </w:r>
    </w:p>
    <w:p>
      <w:pPr>
        <w:pStyle w:val="85"/>
        <w:rPr>
          <w:rFonts w:hint="eastAsia"/>
          <w:highlight w:val="none"/>
          <w:lang w:val="fr-FR"/>
        </w:rPr>
      </w:pPr>
      <w:r>
        <w:rPr>
          <w:rFonts w:hint="eastAsia"/>
          <w:highlight w:val="none"/>
          <w:lang w:val="fr-FR"/>
        </w:rPr>
        <w:t>（</w:t>
      </w:r>
      <w:r>
        <w:rPr>
          <w:rFonts w:hint="eastAsia"/>
          <w:highlight w:val="none"/>
          <w:lang w:val="en-US" w:eastAsia="zh-CN"/>
        </w:rPr>
        <w:t>征求意见稿</w:t>
      </w:r>
      <w:r>
        <w:rPr>
          <w:rFonts w:hint="eastAsia"/>
          <w:highlight w:val="none"/>
          <w:lang w:val="fr-FR"/>
        </w:rPr>
        <w:t>）</w:t>
      </w:r>
    </w:p>
    <w:p>
      <w:pPr>
        <w:pStyle w:val="85"/>
        <w:rPr>
          <w:rFonts w:hint="eastAsia" w:eastAsia="宋体"/>
          <w:sz w:val="18"/>
          <w:szCs w:val="18"/>
          <w:highlight w:val="none"/>
          <w:lang w:val="en-US" w:eastAsia="zh-CN"/>
        </w:rPr>
      </w:pPr>
      <w:r>
        <w:rPr>
          <w:rFonts w:hint="eastAsia"/>
          <w:sz w:val="18"/>
          <w:szCs w:val="18"/>
          <w:highlight w:val="none"/>
          <w:lang w:val="en-US" w:eastAsia="zh-CN"/>
        </w:rPr>
        <w:t>2023-8-1</w:t>
      </w:r>
    </w:p>
    <w:tbl>
      <w:tblPr>
        <w:tblStyle w:val="37"/>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6"/>
              <w:jc w:val="both"/>
              <w:rPr>
                <w:sz w:val="18"/>
                <w:szCs w:val="18"/>
                <w:lang w:val="fr-FR"/>
              </w:rPr>
            </w:pPr>
            <w:r>
              <w:rPr>
                <w:sz w:val="18"/>
                <w:szCs w:val="18"/>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6"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ia6S1QAAAAoBAAAPAAAAAAAAAAEAIAAAACIAAABk&#10;cnMvZG93bnJldi54bWxQSwECFAAUAAAACACHTuJAIpMPFQkCAAAgBAAADgAAAAAAAAABACAAAAAk&#10;AQAAZHJzL2Uyb0RvYy54bWxQSwUGAAAAAAYABgBZAQAAnwUAAAAA&#10;">
                      <v:fill on="t" focussize="0,0"/>
                      <v:stroke on="f"/>
                      <v:imagedata o:title=""/>
                      <o:lock v:ext="edit" aspectratio="f"/>
                      <w10:anchorlock/>
                    </v:rect>
                  </w:pict>
                </mc:Fallback>
              </mc:AlternateContent>
            </w:r>
            <w:r>
              <w:rPr>
                <w:sz w:val="18"/>
                <w:szCs w:val="18"/>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5"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GL5dYAAAAJAQAADwAAAAAAAAABACAAAAAiAAAA&#10;ZHJzL2Rvd25yZXYueG1sUEsBAhQAFAAAAAgAh07iQI91JyIJAgAAIAQAAA4AAAAAAAAAAQAgAAAA&#10;JQEAAGRycy9lMm9Eb2MueG1sUEsFBgAAAAAGAAYAWQEAAKA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shd w:val="clear" w:color="auto" w:fill="auto"/>
          </w:tcPr>
          <w:p>
            <w:pPr>
              <w:pStyle w:val="87"/>
              <w:rPr>
                <w:sz w:val="18"/>
                <w:szCs w:val="18"/>
                <w:lang w:val="fr-FR"/>
              </w:rPr>
            </w:pPr>
          </w:p>
        </w:tc>
      </w:tr>
    </w:tbl>
    <w:p>
      <w:pPr>
        <w:pStyle w:val="135"/>
        <w:framePr w:hAnchor="page" w:x="1485" w:y="14091"/>
      </w:pPr>
      <w:bookmarkStart w:id="3" w:name="FY"/>
      <w:r>
        <w:rPr>
          <w:sz w:val="21"/>
        </w:rPr>
        <mc:AlternateContent>
          <mc:Choice Requires="wpg">
            <w:drawing>
              <wp:anchor distT="0" distB="0" distL="114300" distR="114300" simplePos="0" relativeHeight="251664384" behindDoc="0" locked="0" layoutInCell="1" allowOverlap="1">
                <wp:simplePos x="0" y="0"/>
                <wp:positionH relativeFrom="column">
                  <wp:posOffset>368935</wp:posOffset>
                </wp:positionH>
                <wp:positionV relativeFrom="paragraph">
                  <wp:posOffset>337185</wp:posOffset>
                </wp:positionV>
                <wp:extent cx="5026025" cy="713740"/>
                <wp:effectExtent l="0" t="0" r="3175" b="10160"/>
                <wp:wrapNone/>
                <wp:docPr id="2" name="组合 2"/>
                <wp:cNvGraphicFramePr/>
                <a:graphic xmlns:a="http://schemas.openxmlformats.org/drawingml/2006/main">
                  <a:graphicData uri="http://schemas.microsoft.com/office/word/2010/wordprocessingGroup">
                    <wpg:wgp>
                      <wpg:cNvGrpSpPr/>
                      <wpg:grpSpPr>
                        <a:xfrm>
                          <a:off x="0" y="0"/>
                          <a:ext cx="5026025" cy="713862"/>
                          <a:chOff x="1911" y="12767"/>
                          <a:chExt cx="7915" cy="1177"/>
                        </a:xfrm>
                      </wpg:grpSpPr>
                      <wps:wsp>
                        <wps:cNvPr id="75" name="文本框 75"/>
                        <wps:cNvSpPr txBox="1">
                          <a:spLocks noChangeArrowheads="1"/>
                        </wps:cNvSpPr>
                        <wps:spPr bwMode="auto">
                          <a:xfrm>
                            <a:off x="1911" y="12767"/>
                            <a:ext cx="7915" cy="1159"/>
                          </a:xfrm>
                          <a:prstGeom prst="rect">
                            <a:avLst/>
                          </a:prstGeom>
                          <a:solidFill>
                            <a:srgbClr val="FFFFFF"/>
                          </a:solidFill>
                          <a:ln>
                            <a:noFill/>
                          </a:ln>
                          <a:effectLst/>
                        </wps:spPr>
                        <wps:txbx>
                          <w:txbxContent>
                            <w:p>
                              <w:pPr>
                                <w:pStyle w:val="79"/>
                                <w:ind w:firstLine="6315" w:firstLineChars="1400"/>
                                <w:jc w:val="both"/>
                                <w:rPr>
                                  <w:rStyle w:val="78"/>
                                </w:rPr>
                              </w:pPr>
                            </w:p>
                            <w:p>
                              <w:pPr>
                                <w:pStyle w:val="79"/>
                                <w:ind w:firstLine="6315" w:firstLineChars="1400"/>
                                <w:jc w:val="both"/>
                                <w:rPr>
                                  <w:rStyle w:val="78"/>
                                  <w:kern w:val="2"/>
                                </w:rPr>
                              </w:pPr>
                              <w:r>
                                <w:rPr>
                                  <w:rStyle w:val="78"/>
                                  <w:rFonts w:hint="eastAsia"/>
                                </w:rPr>
                                <w:t>发布</w:t>
                              </w:r>
                            </w:p>
                            <w:p>
                              <w:pPr>
                                <w:pStyle w:val="28"/>
                              </w:pPr>
                            </w:p>
                          </w:txbxContent>
                        </wps:txbx>
                        <wps:bodyPr rot="0" vert="horz" wrap="square" lIns="0" tIns="0" rIns="0" bIns="0" anchor="t" anchorCtr="0" upright="1">
                          <a:noAutofit/>
                        </wps:bodyPr>
                      </wps:wsp>
                      <wps:wsp>
                        <wps:cNvPr id="10" name="文本框 1"/>
                        <wps:cNvSpPr txBox="1">
                          <a:spLocks noChangeArrowheads="1"/>
                        </wps:cNvSpPr>
                        <wps:spPr bwMode="auto">
                          <a:xfrm>
                            <a:off x="2920" y="13169"/>
                            <a:ext cx="5083" cy="775"/>
                          </a:xfrm>
                          <a:prstGeom prst="rect">
                            <a:avLst/>
                          </a:prstGeom>
                          <a:solidFill>
                            <a:srgbClr val="FFFFFF"/>
                          </a:solidFill>
                          <a:ln>
                            <a:noFill/>
                          </a:ln>
                          <a:effectLst/>
                        </wps:spPr>
                        <wps:txbx>
                          <w:txbxContent>
                            <w:p>
                              <w:pPr>
                                <w:pStyle w:val="79"/>
                                <w:spacing w:line="0" w:lineRule="atLeast"/>
                                <w:jc w:val="distribute"/>
                              </w:pPr>
                              <w:r>
                                <w:rPr>
                                  <w:rFonts w:hint="eastAsia"/>
                                </w:rPr>
                                <w:t>国家市场监督管理总局</w:t>
                              </w:r>
                            </w:p>
                            <w:p>
                              <w:pPr>
                                <w:pStyle w:val="79"/>
                                <w:spacing w:line="0" w:lineRule="atLeast"/>
                                <w:jc w:val="distribute"/>
                                <w:rPr>
                                  <w:rStyle w:val="78"/>
                                  <w:kern w:val="2"/>
                                </w:rPr>
                              </w:pPr>
                              <w:r>
                                <w:rPr>
                                  <w:rFonts w:hint="eastAsia"/>
                                </w:rPr>
                                <w:t xml:space="preserve">国家标准化管理委员会  </w:t>
                              </w:r>
                            </w:p>
                            <w:p>
                              <w:pPr>
                                <w:pStyle w:val="28"/>
                                <w:jc w:val="distribute"/>
                              </w:pP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29.05pt;margin-top:26.55pt;height:56.2pt;width:395.75pt;z-index:251664384;mso-width-relative:page;mso-height-relative:page;" coordorigin="1911,12767" coordsize="7915,1177" o:gfxdata="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B0&#10;uyLW2AAAAAkBAAAPAAAAAAAAAAEAIAAAACIAAABkcnMvZG93bnJldi54bWxQSwECFAAUAAAACACH&#10;TuJAVlS5X88CAADRBwAADgAAAAAAAAABACAAAAAnAQAAZHJzL2Uyb0RvYy54bWxQSwUGAAAAAAYA&#10;BgBZAQAAaAYAAAAA&#10;">
                <o:lock v:ext="edit" aspectratio="f"/>
                <v:shape id="_x0000_s1026" o:spid="_x0000_s1026" o:spt="202" type="#_x0000_t202" style="position:absolute;left:1911;top:12767;height:1159;width:7915;" fillcolor="#FFFFFF" filled="t" stroked="f" coordsize="21600,21600" o:gfxdata="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nBab4A&#10;AADb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pStyle w:val="79"/>
                          <w:ind w:firstLine="6315" w:firstLineChars="1400"/>
                          <w:jc w:val="both"/>
                          <w:rPr>
                            <w:rStyle w:val="78"/>
                          </w:rPr>
                        </w:pPr>
                      </w:p>
                      <w:p>
                        <w:pPr>
                          <w:pStyle w:val="79"/>
                          <w:ind w:firstLine="6315" w:firstLineChars="1400"/>
                          <w:jc w:val="both"/>
                          <w:rPr>
                            <w:rStyle w:val="78"/>
                            <w:kern w:val="2"/>
                          </w:rPr>
                        </w:pPr>
                        <w:r>
                          <w:rPr>
                            <w:rStyle w:val="78"/>
                            <w:rFonts w:hint="eastAsia"/>
                          </w:rPr>
                          <w:t>发布</w:t>
                        </w:r>
                      </w:p>
                      <w:p>
                        <w:pPr>
                          <w:pStyle w:val="28"/>
                        </w:pPr>
                      </w:p>
                    </w:txbxContent>
                  </v:textbox>
                </v:shape>
                <v:shape id="文本框 1" o:spid="_x0000_s1026" o:spt="202" type="#_x0000_t202" style="position:absolute;left:2920;top:13169;height:775;width:5083;" fillcolor="#FFFFFF" filled="t" stroked="f" coordsize="21600,21600" o:gfxdata="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Rh1G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pStyle w:val="79"/>
                          <w:spacing w:line="0" w:lineRule="atLeast"/>
                          <w:jc w:val="distribute"/>
                        </w:pPr>
                        <w:r>
                          <w:rPr>
                            <w:rFonts w:hint="eastAsia"/>
                          </w:rPr>
                          <w:t>国家市场监督管理总局</w:t>
                        </w:r>
                      </w:p>
                      <w:p>
                        <w:pPr>
                          <w:pStyle w:val="79"/>
                          <w:spacing w:line="0" w:lineRule="atLeast"/>
                          <w:jc w:val="distribute"/>
                          <w:rPr>
                            <w:rStyle w:val="78"/>
                            <w:kern w:val="2"/>
                          </w:rPr>
                        </w:pPr>
                        <w:r>
                          <w:rPr>
                            <w:rFonts w:hint="eastAsia"/>
                          </w:rPr>
                          <w:t xml:space="preserve">国家标准化管理委员会  </w:t>
                        </w:r>
                      </w:p>
                      <w:p>
                        <w:pPr>
                          <w:pStyle w:val="28"/>
                          <w:jc w:val="distribute"/>
                        </w:pPr>
                      </w:p>
                    </w:txbxContent>
                  </v:textbox>
                </v:shape>
              </v:group>
            </w:pict>
          </mc:Fallback>
        </mc:AlternateContent>
      </w: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3"/>
      <w:r>
        <w:t xml:space="preserve"> </w:t>
      </w:r>
      <w:r>
        <w:rPr>
          <w:rFonts w:ascii="黑体"/>
        </w:rPr>
        <w:t>-</w:t>
      </w:r>
      <w:r>
        <w:t xml:space="preserve"> </w:t>
      </w:r>
      <w:bookmarkStart w:id="4"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t xml:space="preserve"> </w:t>
      </w:r>
      <w:r>
        <w:rPr>
          <w:rFonts w:ascii="黑体"/>
        </w:rPr>
        <w:t>-</w:t>
      </w:r>
      <w:r>
        <w:t xml:space="preserve"> </w:t>
      </w:r>
      <w:bookmarkStart w:id="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-12065</wp:posOffset>
                </wp:positionH>
                <wp:positionV relativeFrom="page">
                  <wp:posOffset>9251950</wp:posOffset>
                </wp:positionV>
                <wp:extent cx="6120130" cy="0"/>
                <wp:effectExtent l="0" t="0" r="13970" b="19050"/>
                <wp:wrapNone/>
                <wp:docPr id="4"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95pt;margin-top:728.5pt;height:0pt;width:481.9pt;mso-position-vertical-relative:page;z-index:251659264;mso-width-relative:page;mso-height-relative:page;" filled="f" stroked="t" coordsize="21600,21600" o:gfxdata="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Vt5NdYAAAAMAQAADwAAAAAAAAABACAAAAAiAAAAZHJzL2Rv&#10;d25yZXYueG1sUEsBAhQAFAAAAAgAh07iQB7Q7R3KAQAAoAMAAA4AAAAAAAAAAQAgAAAAJQEAAGRy&#10;cy9lMm9Eb2MueG1sUEsFBgAAAAAGAAYAWQEAAGEFAAAAAA==&#10;">
                <v:fill on="f" focussize="0,0"/>
                <v:stroke color="#000000" joinstyle="round"/>
                <v:imagedata o:title=""/>
                <o:lock v:ext="edit" aspectratio="f"/>
                <w10:anchorlock/>
              </v:line>
            </w:pict>
          </mc:Fallback>
        </mc:AlternateContent>
      </w:r>
    </w:p>
    <w:p>
      <w:pPr>
        <w:pStyle w:val="136"/>
        <w:framePr w:hAnchor="page" w:x="7006" w:y="14119"/>
      </w:pPr>
      <w:bookmarkStart w:id="6"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bookmarkStart w:id="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bookmarkStart w:id="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实施</w:t>
      </w:r>
    </w:p>
    <w:p>
      <w:pPr>
        <w:pStyle w:val="28"/>
        <w:sectPr>
          <w:footerReference r:id="rId3" w:type="even"/>
          <w:pgSz w:w="11906" w:h="16838"/>
          <w:pgMar w:top="567" w:right="850" w:bottom="1134" w:left="1418" w:header="0" w:footer="0" w:gutter="0"/>
          <w:pgNumType w:start="1"/>
          <w:cols w:space="425" w:num="1"/>
          <w:docGrid w:type="lines" w:linePitch="312" w:charSpace="0"/>
        </w:sectPr>
      </w:pPr>
      <w:bookmarkStart w:id="56" w:name="_GoBack"/>
      <w:bookmarkEnd w:id="56"/>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3"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CQeJf1wAAAAkBAAAPAAAAAAAAAAEAIAAAACIAAABkcnMvZG93&#10;bnJldi54bWxQSwECFAAUAAAACACHTuJAsREIWsgBAACgAwAADgAAAAAAAAABACAAAAAmAQAAZHJz&#10;L2Uyb0RvYy54bWxQSwUGAAAAAAYABgBZAQAAYAUAAAAA&#10;">
                <v:fill on="f" focussize="0,0"/>
                <v:stroke color="#000000" joinstyle="round"/>
                <v:imagedata o:title=""/>
                <o:lock v:ext="edit" aspectratio="f"/>
              </v:line>
            </w:pict>
          </mc:Fallback>
        </mc:AlternateContent>
      </w:r>
    </w:p>
    <w:p>
      <w:pPr>
        <w:pStyle w:val="117"/>
        <w:rPr>
          <w:rFonts w:ascii="Times New Roman"/>
          <w:color w:val="000000"/>
        </w:rPr>
      </w:pPr>
      <w:bookmarkStart w:id="9" w:name="_Toc102741960"/>
      <w:bookmarkStart w:id="10" w:name="_Toc18152"/>
      <w:bookmarkStart w:id="11" w:name="_Toc518569058"/>
      <w:r>
        <w:rPr>
          <w:rFonts w:hint="eastAsia" w:ascii="Times New Roman"/>
          <w:color w:val="000000"/>
        </w:rPr>
        <w:t>目 次</w:t>
      </w:r>
      <w:bookmarkEnd w:id="9"/>
    </w:p>
    <w:p>
      <w:pPr>
        <w:rPr>
          <w:color w:val="000000"/>
        </w:rPr>
      </w:pPr>
    </w:p>
    <w:p>
      <w:pPr>
        <w:pStyle w:val="24"/>
        <w:adjustRightInd w:val="0"/>
        <w:snapToGrid w:val="0"/>
        <w:spacing w:before="120" w:beforeLines="50" w:after="120" w:afterLines="50"/>
        <w:rPr>
          <w:rFonts w:ascii="Times New Roman"/>
          <w:szCs w:val="22"/>
        </w:rPr>
      </w:pPr>
      <w:r>
        <w:rPr>
          <w:rFonts w:ascii="Arial" w:hAnsi="Arial" w:cs="Arial"/>
          <w:color w:val="000000"/>
        </w:rPr>
        <w:fldChar w:fldCharType="begin"/>
      </w:r>
      <w:r>
        <w:rPr>
          <w:rFonts w:ascii="Arial" w:hAnsi="Arial" w:cs="Arial"/>
          <w:color w:val="000000"/>
        </w:rPr>
        <w:instrText xml:space="preserve">TOC \o "1-2" \h \u </w:instrText>
      </w:r>
      <w:r>
        <w:rPr>
          <w:rFonts w:ascii="Arial" w:hAnsi="Arial" w:cs="Arial"/>
          <w:color w:val="000000"/>
        </w:rPr>
        <w:fldChar w:fldCharType="separate"/>
      </w:r>
      <w:r>
        <w:fldChar w:fldCharType="begin"/>
      </w:r>
      <w:r>
        <w:instrText xml:space="preserve"> HYPERLINK \l "_Toc102741960" </w:instrText>
      </w:r>
      <w:r>
        <w:fldChar w:fldCharType="separate"/>
      </w:r>
      <w:r>
        <w:rPr>
          <w:rStyle w:val="43"/>
          <w:rFonts w:ascii="Times New Roman"/>
        </w:rPr>
        <w:t>目 次</w:t>
      </w:r>
      <w:r>
        <w:rPr>
          <w:rFonts w:ascii="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_Toc102741960 \h </w:instrText>
      </w:r>
      <w:r>
        <w:rPr>
          <w:rFonts w:hint="default" w:ascii="Times New Roman" w:hAnsi="Times New Roman" w:cs="Times New Roman"/>
        </w:rPr>
        <w:fldChar w:fldCharType="separate"/>
      </w:r>
      <w:r>
        <w:rPr>
          <w:rFonts w:hint="default" w:ascii="Times New Roman" w:hAnsi="Times New Roman" w:cs="Times New Roman"/>
        </w:rPr>
        <w:t>I</w:t>
      </w:r>
      <w:r>
        <w:rPr>
          <w:rFonts w:hint="default" w:ascii="Times New Roman" w:hAnsi="Times New Roman" w:cs="Times New Roman"/>
        </w:rPr>
        <w:fldChar w:fldCharType="end"/>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"_Toc102741961" </w:instrText>
      </w:r>
      <w:r>
        <w:fldChar w:fldCharType="separate"/>
      </w:r>
      <w:r>
        <w:rPr>
          <w:rStyle w:val="43"/>
          <w:rFonts w:ascii="Times New Roman"/>
        </w:rPr>
        <w:t>前  言</w:t>
      </w:r>
      <w:r>
        <w:rPr>
          <w:rFonts w:ascii="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_Toc102741961 \h </w:instrText>
      </w:r>
      <w:r>
        <w:rPr>
          <w:rFonts w:hint="default" w:ascii="Times New Roman" w:hAnsi="Times New Roman" w:cs="Times New Roman"/>
        </w:rPr>
        <w:fldChar w:fldCharType="separate"/>
      </w:r>
      <w:r>
        <w:rPr>
          <w:rFonts w:hint="default" w:ascii="Times New Roman" w:hAnsi="Times New Roman" w:cs="Times New Roman"/>
        </w:rPr>
        <w:t>II</w:t>
      </w:r>
      <w:r>
        <w:rPr>
          <w:rFonts w:hint="default" w:ascii="Times New Roman" w:hAnsi="Times New Roman" w:cs="Times New Roman"/>
        </w:rPr>
        <w:fldChar w:fldCharType="end"/>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"_Toc102741963" </w:instrText>
      </w:r>
      <w:r>
        <w:fldChar w:fldCharType="separate"/>
      </w:r>
      <w:r>
        <w:rPr>
          <w:rStyle w:val="43"/>
          <w:rFonts w:ascii="Times New Roman"/>
          <w:kern w:val="0"/>
        </w:rPr>
        <w:t>1 范围</w:t>
      </w:r>
      <w:r>
        <w:rPr>
          <w:rFonts w:ascii="Times New Roman"/>
        </w:rPr>
        <w:tab/>
      </w:r>
      <w:r>
        <w:rPr>
          <w:rFonts w:hint="eastAsia" w:ascii="Times New Roman"/>
          <w:lang w:val="en-US" w:eastAsia="zh-CN"/>
        </w:rPr>
        <w:t>1</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"_Toc102741964" </w:instrText>
      </w:r>
      <w:r>
        <w:fldChar w:fldCharType="separate"/>
      </w:r>
      <w:r>
        <w:rPr>
          <w:rStyle w:val="43"/>
          <w:rFonts w:ascii="Times New Roman"/>
          <w:kern w:val="0"/>
        </w:rPr>
        <w:t>2 规范性引用文件</w:t>
      </w:r>
      <w:r>
        <w:rPr>
          <w:rFonts w:ascii="Times New Roman"/>
        </w:rPr>
        <w:tab/>
      </w:r>
      <w:r>
        <w:rPr>
          <w:rFonts w:hint="eastAsia" w:ascii="Times New Roman"/>
          <w:lang w:val="en-US" w:eastAsia="zh-CN"/>
        </w:rPr>
        <w:t>1</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"_Toc102741965" </w:instrText>
      </w:r>
      <w:r>
        <w:fldChar w:fldCharType="separate"/>
      </w:r>
      <w:r>
        <w:rPr>
          <w:rStyle w:val="43"/>
          <w:rFonts w:ascii="Times New Roman"/>
          <w:kern w:val="0"/>
        </w:rPr>
        <w:t>3 术语、定义与缩略语</w:t>
      </w:r>
      <w:r>
        <w:rPr>
          <w:rFonts w:ascii="Times New Roman"/>
        </w:rPr>
        <w:tab/>
      </w:r>
      <w:r>
        <w:rPr>
          <w:rFonts w:hint="eastAsia" w:ascii="Times New Roman"/>
          <w:lang w:val="en-US" w:eastAsia="zh-CN"/>
        </w:rPr>
        <w:t>1</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"_Toc102741966" </w:instrText>
      </w:r>
      <w:r>
        <w:fldChar w:fldCharType="separate"/>
      </w:r>
      <w:r>
        <w:rPr>
          <w:rStyle w:val="43"/>
          <w:rFonts w:ascii="Times New Roman"/>
          <w:kern w:val="0"/>
        </w:rPr>
        <w:t xml:space="preserve">4 </w:t>
      </w:r>
      <w:r>
        <w:rPr>
          <w:rStyle w:val="43"/>
          <w:rFonts w:hint="eastAsia" w:ascii="Times New Roman"/>
          <w:kern w:val="0"/>
          <w:lang w:val="en-US" w:eastAsia="zh-CN"/>
        </w:rPr>
        <w:t>原理</w:t>
      </w:r>
      <w:r>
        <w:rPr>
          <w:rFonts w:ascii="Times New Roman"/>
        </w:rPr>
        <w:tab/>
      </w:r>
      <w:r>
        <w:rPr>
          <w:rFonts w:hint="eastAsia" w:ascii="Times New Roman"/>
          <w:lang w:val="en-US" w:eastAsia="zh-CN"/>
        </w:rPr>
        <w:t>2</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"_Toc102741967" </w:instrText>
      </w:r>
      <w:r>
        <w:fldChar w:fldCharType="separate"/>
      </w:r>
      <w:r>
        <w:rPr>
          <w:rStyle w:val="43"/>
          <w:rFonts w:ascii="Times New Roman"/>
          <w:kern w:val="0"/>
        </w:rPr>
        <w:t xml:space="preserve">5 </w:t>
      </w:r>
      <w:r>
        <w:rPr>
          <w:rStyle w:val="43"/>
          <w:rFonts w:hint="eastAsia" w:ascii="Times New Roman"/>
          <w:kern w:val="0"/>
          <w:lang w:val="en-US" w:eastAsia="zh-CN"/>
        </w:rPr>
        <w:t>试剂与材料</w:t>
      </w:r>
      <w:r>
        <w:rPr>
          <w:rFonts w:ascii="Times New Roman"/>
        </w:rPr>
        <w:tab/>
      </w:r>
      <w:r>
        <w:rPr>
          <w:rFonts w:hint="eastAsia" w:ascii="Times New Roman"/>
          <w:lang w:val="en-US" w:eastAsia="zh-CN"/>
        </w:rPr>
        <w:t>2</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"_Toc102741968" </w:instrText>
      </w:r>
      <w:r>
        <w:fldChar w:fldCharType="separate"/>
      </w:r>
      <w:r>
        <w:rPr>
          <w:rStyle w:val="43"/>
          <w:rFonts w:ascii="Times New Roman"/>
          <w:kern w:val="0"/>
        </w:rPr>
        <w:t xml:space="preserve">6 </w:t>
      </w:r>
      <w:r>
        <w:rPr>
          <w:rStyle w:val="43"/>
          <w:rFonts w:hint="eastAsia" w:ascii="Times New Roman"/>
          <w:kern w:val="0"/>
          <w:lang w:val="en-US" w:eastAsia="zh-CN"/>
        </w:rPr>
        <w:t>装置</w:t>
      </w:r>
      <w:r>
        <w:rPr>
          <w:rFonts w:ascii="Times New Roman"/>
        </w:rPr>
        <w:tab/>
      </w:r>
      <w:r>
        <w:rPr>
          <w:rFonts w:hint="eastAsia" w:ascii="Times New Roman"/>
          <w:lang w:val="en-US" w:eastAsia="zh-CN"/>
        </w:rPr>
        <w:t>3</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"_Toc102741969" </w:instrText>
      </w:r>
      <w:r>
        <w:fldChar w:fldCharType="separate"/>
      </w:r>
      <w:r>
        <w:rPr>
          <w:rStyle w:val="43"/>
          <w:rFonts w:ascii="Times New Roman"/>
          <w:kern w:val="0"/>
        </w:rPr>
        <w:t xml:space="preserve">7 </w:t>
      </w:r>
      <w:r>
        <w:rPr>
          <w:rStyle w:val="43"/>
          <w:rFonts w:hint="eastAsia" w:ascii="Times New Roman"/>
          <w:kern w:val="0"/>
          <w:lang w:val="en-US" w:eastAsia="zh-CN"/>
        </w:rPr>
        <w:t>取样</w:t>
      </w:r>
      <w:r>
        <w:rPr>
          <w:rFonts w:ascii="Times New Roman"/>
        </w:rPr>
        <w:tab/>
      </w:r>
      <w:r>
        <w:rPr>
          <w:rFonts w:hint="eastAsia" w:ascii="Times New Roman"/>
          <w:lang w:val="en-US" w:eastAsia="zh-CN"/>
        </w:rPr>
        <w:t>3</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"_Toc102741970" </w:instrText>
      </w:r>
      <w:r>
        <w:fldChar w:fldCharType="separate"/>
      </w:r>
      <w:r>
        <w:rPr>
          <w:rStyle w:val="43"/>
          <w:rFonts w:hint="eastAsia" w:ascii="Times New Roman"/>
          <w:kern w:val="0"/>
          <w:lang w:val="en-US" w:eastAsia="zh-CN"/>
        </w:rPr>
        <w:t>8</w:t>
      </w:r>
      <w:r>
        <w:rPr>
          <w:rStyle w:val="43"/>
          <w:rFonts w:ascii="Times New Roman"/>
          <w:kern w:val="0"/>
        </w:rPr>
        <w:t xml:space="preserve"> </w:t>
      </w:r>
      <w:r>
        <w:rPr>
          <w:rStyle w:val="43"/>
          <w:rFonts w:hint="eastAsia" w:ascii="Times New Roman"/>
          <w:kern w:val="0"/>
          <w:lang w:val="en-US" w:eastAsia="zh-CN"/>
        </w:rPr>
        <w:t>程序</w:t>
      </w:r>
      <w:r>
        <w:rPr>
          <w:rFonts w:ascii="Times New Roman"/>
        </w:rPr>
        <w:tab/>
      </w:r>
      <w:r>
        <w:rPr>
          <w:rFonts w:hint="eastAsia" w:ascii="Times New Roman"/>
          <w:lang w:val="en-US" w:eastAsia="zh-CN"/>
        </w:rPr>
        <w:t>3</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"_Toc102741971" </w:instrText>
      </w:r>
      <w:r>
        <w:fldChar w:fldCharType="separate"/>
      </w:r>
      <w:r>
        <w:rPr>
          <w:rFonts w:hint="eastAsia"/>
          <w:lang w:val="en-US" w:eastAsia="zh-CN"/>
        </w:rPr>
        <w:t xml:space="preserve">9 </w:t>
      </w:r>
      <w:r>
        <w:rPr>
          <w:rStyle w:val="43"/>
          <w:rFonts w:ascii="Times New Roman"/>
          <w:kern w:val="0"/>
        </w:rPr>
        <w:t>HBCDD浓度计算</w:t>
      </w:r>
      <w:r>
        <w:rPr>
          <w:rFonts w:ascii="Times New Roman"/>
        </w:rPr>
        <w:tab/>
      </w:r>
      <w:r>
        <w:rPr>
          <w:rFonts w:hint="eastAsia" w:ascii="Times New Roman"/>
          <w:lang w:val="en-US" w:eastAsia="zh-CN"/>
        </w:rPr>
        <w:t>6</w:t>
      </w:r>
      <w:r>
        <w:rPr>
          <w:rFonts w:ascii="Times New Roman"/>
        </w:rPr>
        <w:fldChar w:fldCharType="end"/>
      </w:r>
    </w:p>
    <w:p>
      <w:pPr>
        <w:pStyle w:val="24"/>
        <w:adjustRightInd w:val="0"/>
        <w:snapToGrid w:val="0"/>
        <w:spacing w:before="120" w:beforeLines="50" w:after="120" w:afterLines="50"/>
        <w:rPr>
          <w:rFonts w:ascii="Times New Roman"/>
          <w:szCs w:val="22"/>
        </w:rPr>
      </w:pPr>
      <w:r>
        <w:fldChar w:fldCharType="begin"/>
      </w:r>
      <w:r>
        <w:instrText xml:space="preserve"> HYPERLINK \l "_Toc102741972" </w:instrText>
      </w:r>
      <w:r>
        <w:fldChar w:fldCharType="separate"/>
      </w:r>
      <w:r>
        <w:rPr>
          <w:rStyle w:val="43"/>
          <w:rFonts w:hint="eastAsia" w:ascii="Times New Roman"/>
          <w:kern w:val="0"/>
          <w:lang w:val="en-US" w:eastAsia="zh-CN"/>
        </w:rPr>
        <w:t>10精密度</w:t>
      </w:r>
      <w:r>
        <w:rPr>
          <w:rFonts w:ascii="Times New Roman"/>
        </w:rPr>
        <w:tab/>
      </w:r>
      <w:r>
        <w:rPr>
          <w:rFonts w:hint="eastAsia" w:ascii="Times New Roman"/>
          <w:lang w:val="en-US" w:eastAsia="zh-CN"/>
        </w:rPr>
        <w:t>8</w:t>
      </w:r>
      <w:r>
        <w:rPr>
          <w:rFonts w:ascii="Times New Roman"/>
        </w:rPr>
        <w:fldChar w:fldCharType="end"/>
      </w:r>
    </w:p>
    <w:p>
      <w:pPr>
        <w:pStyle w:val="24"/>
        <w:adjustRightInd w:val="0"/>
        <w:snapToGrid w:val="0"/>
        <w:spacing w:before="120" w:beforeLines="50" w:after="120" w:afterLines="50"/>
        <w:rPr>
          <w:rFonts w:ascii="Times New Roman"/>
        </w:rPr>
      </w:pPr>
      <w:r>
        <w:fldChar w:fldCharType="begin"/>
      </w:r>
      <w:r>
        <w:instrText xml:space="preserve"> HYPERLINK \l "_Toc102741973" </w:instrText>
      </w:r>
      <w:r>
        <w:fldChar w:fldCharType="separate"/>
      </w:r>
      <w:r>
        <w:rPr>
          <w:rStyle w:val="43"/>
          <w:rFonts w:hint="eastAsia" w:ascii="Times New Roman"/>
          <w:kern w:val="0"/>
          <w:lang w:val="en-US" w:eastAsia="zh-CN"/>
        </w:rPr>
        <w:t>11</w:t>
      </w:r>
      <w:r>
        <w:rPr>
          <w:rStyle w:val="43"/>
          <w:rFonts w:ascii="Times New Roman"/>
          <w:kern w:val="0"/>
        </w:rPr>
        <w:t>质量保证与质量控制</w:t>
      </w:r>
      <w:r>
        <w:rPr>
          <w:rFonts w:ascii="Times New Roman"/>
        </w:rPr>
        <w:tab/>
      </w:r>
      <w:r>
        <w:rPr>
          <w:rFonts w:hint="eastAsia" w:ascii="Times New Roman"/>
          <w:lang w:val="en-US" w:eastAsia="zh-CN"/>
        </w:rPr>
        <w:t>8</w:t>
      </w:r>
      <w:r>
        <w:rPr>
          <w:rFonts w:ascii="Times New Roman"/>
        </w:rPr>
        <w:fldChar w:fldCharType="end"/>
      </w:r>
    </w:p>
    <w:p>
      <w:pPr>
        <w:pStyle w:val="24"/>
        <w:adjustRightInd w:val="0"/>
        <w:snapToGrid w:val="0"/>
        <w:spacing w:before="120" w:beforeLines="50" w:after="120" w:afterLines="50"/>
        <w:rPr>
          <w:rFonts w:ascii="Times New Roman"/>
        </w:rPr>
      </w:pPr>
      <w:r>
        <w:fldChar w:fldCharType="begin"/>
      </w:r>
      <w:r>
        <w:instrText xml:space="preserve"> HYPERLINK \l "_Toc102741973" </w:instrText>
      </w:r>
      <w:r>
        <w:fldChar w:fldCharType="separate"/>
      </w:r>
      <w:r>
        <w:rPr>
          <w:rStyle w:val="43"/>
          <w:rFonts w:hint="eastAsia" w:ascii="Times New Roman"/>
          <w:kern w:val="0"/>
          <w:lang w:val="en-US" w:eastAsia="zh-CN"/>
        </w:rPr>
        <w:t>12检测报告</w:t>
      </w:r>
      <w:r>
        <w:rPr>
          <w:rFonts w:ascii="Times New Roman"/>
        </w:rPr>
        <w:tab/>
      </w:r>
      <w:r>
        <w:rPr>
          <w:rFonts w:hint="eastAsia" w:ascii="Times New Roman"/>
          <w:lang w:val="en-US" w:eastAsia="zh-CN"/>
        </w:rPr>
        <w:t>9</w:t>
      </w:r>
      <w:r>
        <w:rPr>
          <w:rFonts w:ascii="Times New Roman"/>
        </w:rPr>
        <w:fldChar w:fldCharType="end"/>
      </w:r>
    </w:p>
    <w:p>
      <w:pPr>
        <w:pStyle w:val="24"/>
        <w:adjustRightInd w:val="0"/>
        <w:snapToGrid w:val="0"/>
        <w:spacing w:before="120" w:beforeLines="50" w:after="120" w:afterLines="50"/>
        <w:rPr>
          <w:rFonts w:ascii="Times New Roman"/>
        </w:rPr>
      </w:pPr>
      <w:r>
        <w:fldChar w:fldCharType="begin"/>
      </w:r>
      <w:r>
        <w:instrText xml:space="preserve"> HYPERLINK \l "_Toc102741974" </w:instrText>
      </w:r>
      <w:r>
        <w:fldChar w:fldCharType="separate"/>
      </w:r>
      <w:r>
        <w:rPr>
          <w:rStyle w:val="43"/>
          <w:rFonts w:ascii="Times New Roman"/>
          <w:kern w:val="0"/>
        </w:rPr>
        <w:t>附录</w:t>
      </w:r>
      <w:r>
        <w:rPr>
          <w:rStyle w:val="43"/>
          <w:rFonts w:hint="eastAsia" w:ascii="Times New Roman"/>
          <w:kern w:val="0"/>
          <w:lang w:val="en-US" w:eastAsia="zh-CN"/>
        </w:rPr>
        <w:t>A</w:t>
      </w:r>
      <w:r>
        <w:rPr>
          <w:rStyle w:val="43"/>
          <w:rFonts w:ascii="Times New Roman"/>
          <w:kern w:val="0"/>
        </w:rPr>
        <w:t xml:space="preserve"> （资料性）</w:t>
      </w:r>
      <w:r>
        <w:rPr>
          <w:rStyle w:val="43"/>
          <w:rFonts w:hint="eastAsia" w:ascii="Times New Roman"/>
          <w:kern w:val="0"/>
          <w:lang w:eastAsia="zh-CN"/>
        </w:rPr>
        <w:t>高效</w:t>
      </w:r>
      <w:r>
        <w:rPr>
          <w:rStyle w:val="43"/>
          <w:rFonts w:ascii="Times New Roman"/>
          <w:kern w:val="0"/>
        </w:rPr>
        <w:t>液相色谱-质谱法（HPLC-MS）测定聚合物中的六溴环十二烷</w:t>
      </w:r>
      <w:r>
        <w:rPr>
          <w:rFonts w:ascii="Times New Roman"/>
        </w:rPr>
        <w:tab/>
      </w:r>
      <w:r>
        <w:rPr>
          <w:rFonts w:hint="eastAsia" w:ascii="Times New Roman"/>
          <w:lang w:val="en-US" w:eastAsia="zh-CN"/>
        </w:rPr>
        <w:t>...11</w:t>
      </w:r>
      <w:r>
        <w:rPr>
          <w:rFonts w:ascii="Times New Roman"/>
        </w:rPr>
        <w:fldChar w:fldCharType="end"/>
      </w:r>
    </w:p>
    <w:p>
      <w:pPr>
        <w:pStyle w:val="24"/>
        <w:adjustRightInd w:val="0"/>
        <w:snapToGrid w:val="0"/>
        <w:spacing w:before="120" w:beforeLines="50" w:after="120" w:afterLines="50"/>
        <w:rPr>
          <w:rFonts w:hint="eastAsia" w:ascii="Times New Roman" w:eastAsia="宋体"/>
          <w:szCs w:val="22"/>
          <w:lang w:val="en-US" w:eastAsia="zh-CN"/>
        </w:rPr>
      </w:pPr>
      <w:r>
        <w:fldChar w:fldCharType="begin"/>
      </w:r>
      <w:r>
        <w:instrText xml:space="preserve"> HYPERLINK \l "_Toc102741974" </w:instrText>
      </w:r>
      <w:r>
        <w:fldChar w:fldCharType="separate"/>
      </w:r>
      <w:r>
        <w:rPr>
          <w:rStyle w:val="43"/>
          <w:rFonts w:ascii="Times New Roman"/>
          <w:kern w:val="0"/>
        </w:rPr>
        <w:t>附录</w:t>
      </w:r>
      <w:r>
        <w:rPr>
          <w:rStyle w:val="43"/>
          <w:rFonts w:hint="eastAsia" w:ascii="Times New Roman"/>
          <w:kern w:val="0"/>
          <w:lang w:val="en-US" w:eastAsia="zh-CN"/>
        </w:rPr>
        <w:t>B</w:t>
      </w:r>
      <w:r>
        <w:rPr>
          <w:rStyle w:val="43"/>
          <w:rFonts w:ascii="Times New Roman"/>
          <w:kern w:val="0"/>
        </w:rPr>
        <w:t xml:space="preserve"> （资料性）建议条件下的色谱图示例</w:t>
      </w:r>
      <w:r>
        <w:rPr>
          <w:rFonts w:ascii="Times New Roman"/>
        </w:rPr>
        <w:tab/>
      </w:r>
      <w:r>
        <w:rPr>
          <w:rFonts w:hint="eastAsia" w:ascii="Times New Roman"/>
          <w:lang w:val="en-US" w:eastAsia="zh-CN"/>
        </w:rPr>
        <w:t>1</w:t>
      </w:r>
      <w:r>
        <w:rPr>
          <w:rFonts w:ascii="Times New Roman"/>
        </w:rPr>
        <w:fldChar w:fldCharType="end"/>
      </w:r>
      <w:r>
        <w:rPr>
          <w:rFonts w:hint="eastAsia" w:ascii="Times New Roman"/>
          <w:lang w:val="en-US" w:eastAsia="zh-CN"/>
        </w:rPr>
        <w:t>8</w:t>
      </w:r>
    </w:p>
    <w:p>
      <w:pPr>
        <w:pStyle w:val="24"/>
        <w:adjustRightInd w:val="0"/>
        <w:snapToGrid w:val="0"/>
        <w:spacing w:before="120" w:beforeLines="50" w:after="120" w:afterLines="50"/>
        <w:rPr>
          <w:rFonts w:hint="eastAsia" w:ascii="Times New Roman" w:eastAsia="宋体"/>
          <w:szCs w:val="22"/>
          <w:lang w:val="en-US" w:eastAsia="zh-CN"/>
        </w:rPr>
      </w:pPr>
      <w:r>
        <w:fldChar w:fldCharType="begin"/>
      </w:r>
      <w:r>
        <w:instrText xml:space="preserve"> HYPERLINK \l "_Toc102741974" </w:instrText>
      </w:r>
      <w:r>
        <w:fldChar w:fldCharType="separate"/>
      </w:r>
      <w:r>
        <w:rPr>
          <w:rStyle w:val="43"/>
          <w:rFonts w:ascii="Times New Roman"/>
          <w:kern w:val="0"/>
        </w:rPr>
        <w:t>附录</w:t>
      </w:r>
      <w:r>
        <w:rPr>
          <w:rStyle w:val="43"/>
          <w:rFonts w:hint="eastAsia" w:ascii="Times New Roman"/>
          <w:kern w:val="0"/>
          <w:lang w:val="en-US" w:eastAsia="zh-CN"/>
        </w:rPr>
        <w:t>C</w:t>
      </w:r>
      <w:r>
        <w:rPr>
          <w:rStyle w:val="43"/>
          <w:rFonts w:ascii="Times New Roman"/>
          <w:kern w:val="0"/>
        </w:rPr>
        <w:t xml:space="preserve"> （资料性）国际实验室间研究（IIS 9）结果</w:t>
      </w:r>
      <w:r>
        <w:rPr>
          <w:rFonts w:ascii="Times New Roman"/>
        </w:rPr>
        <w:tab/>
      </w:r>
      <w:r>
        <w:rPr>
          <w:rFonts w:hint="eastAsia" w:ascii="Times New Roman"/>
          <w:lang w:val="en-US" w:eastAsia="zh-CN"/>
        </w:rPr>
        <w:t>2</w:t>
      </w:r>
      <w:r>
        <w:rPr>
          <w:rFonts w:ascii="Times New Roman"/>
        </w:rPr>
        <w:fldChar w:fldCharType="end"/>
      </w:r>
      <w:r>
        <w:rPr>
          <w:rFonts w:hint="eastAsia" w:ascii="Times New Roman"/>
          <w:lang w:val="en-US" w:eastAsia="zh-CN"/>
        </w:rPr>
        <w:t>0</w:t>
      </w:r>
    </w:p>
    <w:p>
      <w:pPr>
        <w:pStyle w:val="24"/>
        <w:adjustRightInd w:val="0"/>
        <w:snapToGrid w:val="0"/>
        <w:spacing w:before="120" w:beforeLines="50" w:after="120" w:afterLines="50"/>
        <w:rPr>
          <w:rFonts w:hint="eastAsia" w:ascii="Times New Roman" w:eastAsia="宋体"/>
          <w:szCs w:val="22"/>
          <w:lang w:val="en-US" w:eastAsia="zh-CN"/>
        </w:rPr>
      </w:pPr>
      <w:r>
        <w:fldChar w:fldCharType="begin"/>
      </w:r>
      <w:r>
        <w:instrText xml:space="preserve"> HYPERLINK \l "_Toc102741975" </w:instrText>
      </w:r>
      <w:r>
        <w:fldChar w:fldCharType="separate"/>
      </w:r>
      <w:r>
        <w:rPr>
          <w:rStyle w:val="43"/>
          <w:rFonts w:ascii="Times New Roman"/>
        </w:rPr>
        <w:t>参考文献</w:t>
      </w:r>
      <w:r>
        <w:rPr>
          <w:rFonts w:ascii="Times New Roman"/>
        </w:rPr>
        <w:tab/>
      </w:r>
      <w:r>
        <w:rPr>
          <w:rFonts w:hint="eastAsia" w:ascii="Times New Roman"/>
          <w:lang w:val="en-US" w:eastAsia="zh-CN"/>
        </w:rPr>
        <w:t>2</w:t>
      </w:r>
      <w:r>
        <w:rPr>
          <w:rFonts w:ascii="Times New Roman"/>
        </w:rPr>
        <w:fldChar w:fldCharType="end"/>
      </w:r>
      <w:r>
        <w:rPr>
          <w:rFonts w:hint="eastAsia" w:ascii="Times New Roman"/>
          <w:lang w:val="en-US" w:eastAsia="zh-CN"/>
        </w:rPr>
        <w:t>2</w:t>
      </w:r>
    </w:p>
    <w:p>
      <w:pPr>
        <w:pStyle w:val="117"/>
        <w:rPr>
          <w:rFonts w:ascii="Arial" w:hAnsi="Arial" w:cs="Arial"/>
          <w:color w:val="000000"/>
        </w:rPr>
        <w:sectPr>
          <w:headerReference r:id="rId4" w:type="default"/>
          <w:footerReference r:id="rId6" w:type="default"/>
          <w:headerReference r:id="rId5" w:type="even"/>
          <w:pgSz w:w="11906" w:h="16838"/>
          <w:pgMar w:top="567" w:right="1134" w:bottom="1134" w:left="1418" w:header="1418" w:footer="1134" w:gutter="0"/>
          <w:pgNumType w:start="1"/>
          <w:cols w:space="425" w:num="1"/>
          <w:formProt w:val="0"/>
          <w:docGrid w:type="lines" w:linePitch="312" w:charSpace="0"/>
        </w:sectPr>
      </w:pPr>
    </w:p>
    <w:p>
      <w:pPr>
        <w:pStyle w:val="117"/>
        <w:rPr>
          <w:rFonts w:ascii="Times New Roman"/>
          <w:color w:val="000000"/>
        </w:rPr>
      </w:pPr>
      <w:r>
        <w:rPr>
          <w:rFonts w:ascii="Arial" w:hAnsi="Arial" w:cs="Arial"/>
          <w:color w:val="000000"/>
        </w:rPr>
        <w:fldChar w:fldCharType="end"/>
      </w:r>
      <w:r>
        <w:rPr>
          <w:rFonts w:ascii="Times New Roman"/>
          <w:color w:val="000000"/>
        </w:rPr>
        <w:t>前  言</w:t>
      </w:r>
      <w:bookmarkEnd w:id="10"/>
    </w:p>
    <w:p>
      <w:pPr>
        <w:pStyle w:val="28"/>
        <w:rPr>
          <w:rFonts w:ascii="Times New Roman"/>
          <w:color w:val="000000"/>
        </w:rPr>
      </w:pPr>
      <w:r>
        <w:rPr>
          <w:rFonts w:hint="eastAsia" w:ascii="Times New Roman"/>
          <w:color w:val="000000"/>
        </w:rPr>
        <w:t>本系列标准GB/T 39560《</w:t>
      </w:r>
      <w:r>
        <w:rPr>
          <w:rFonts w:hint="eastAsia"/>
        </w:rPr>
        <w:t>电子电气产品中某些物质的测定</w:t>
      </w:r>
      <w:r>
        <w:rPr>
          <w:rFonts w:hint="eastAsia" w:ascii="Times New Roman"/>
          <w:color w:val="000000"/>
        </w:rPr>
        <w:t>》目前分为以下几个部分：</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第1部分：介绍和概述；</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第2部分：拆解，拆分和机械制样；</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第3-1部分: X射线荧光光谱法筛选铅、汞、镉、总铬和总溴；</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第3-2部分：燃烧-离子色谱法（C-IC）筛选聚合物和电子件中的氟、溴和氯；</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第3-3部分：配有热裂解</w:t>
      </w:r>
      <w:r>
        <w:rPr>
          <w:rFonts w:hint="eastAsia" w:ascii="Times New Roman"/>
          <w:color w:val="000000"/>
          <w:lang w:val="en-US" w:eastAsia="zh-CN"/>
        </w:rPr>
        <w:t>/</w:t>
      </w:r>
      <w:r>
        <w:rPr>
          <w:rFonts w:hint="eastAsia" w:ascii="Times New Roman"/>
          <w:color w:val="000000"/>
        </w:rPr>
        <w:t>热脱附的气相色谱质谱法（Py/TD-GC-MS）筛选聚合物中的多溴联苯、多溴二苯醚和邻苯二甲酸酯；</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第4部分：CV-AAS、CV-AFS、ICP-OES和ICP-MS测定聚合物，金属和电子件中的汞；</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第5部分：AAS、AFS、ICP-OES和ICP-MS测定聚合物和电子件中的镉、铅和铬与金属中的镉和铅；</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第6部分：气相色谱-质谱法（GC-MS）测定聚合物中的多溴联苯和多溴二苯醚；</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第7-1部分：六价铬-比色法测定金属上无色和有色防腐镀层中的六价铬（Cr（VI））；</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第7-2部分：六价铬-比色法测定聚合物和电子件中的中六价铬（Cr（VI））；</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第8部分：气相色谱-质谱法（GC-MS）与配有热裂解/热脱附的气相色谱-质谱法 （Py/TD-GC-MS）测定聚合物中的邻苯二甲酸酯；</w:t>
      </w:r>
    </w:p>
    <w:p>
      <w:pPr>
        <w:pStyle w:val="28"/>
        <w:numPr>
          <w:ilvl w:val="0"/>
          <w:numId w:val="17"/>
        </w:numPr>
        <w:tabs>
          <w:tab w:val="center" w:pos="851"/>
          <w:tab w:val="right" w:leader="dot" w:pos="1276"/>
          <w:tab w:val="clear" w:pos="4201"/>
          <w:tab w:val="clear" w:pos="9298"/>
        </w:tabs>
        <w:ind w:firstLineChars="0"/>
        <w:rPr>
          <w:rFonts w:ascii="Times New Roman"/>
          <w:color w:val="000000"/>
        </w:rPr>
      </w:pPr>
      <w:r>
        <w:rPr>
          <w:rFonts w:hint="eastAsia" w:ascii="Times New Roman"/>
          <w:color w:val="000000"/>
        </w:rPr>
        <w:t>第9部分：气相色谱质谱法（GC-MS）测定聚合物中的六溴环十二烷；</w:t>
      </w:r>
    </w:p>
    <w:p>
      <w:pPr>
        <w:pStyle w:val="28"/>
        <w:numPr>
          <w:ilvl w:val="0"/>
          <w:numId w:val="17"/>
        </w:numPr>
        <w:tabs>
          <w:tab w:val="center" w:pos="851"/>
          <w:tab w:val="right" w:leader="dot" w:pos="1276"/>
          <w:tab w:val="clear" w:pos="4201"/>
          <w:tab w:val="clear" w:pos="9298"/>
        </w:tabs>
        <w:ind w:firstLineChars="0"/>
        <w:rPr>
          <w:rFonts w:ascii="Times New Roman"/>
          <w:color w:val="000000"/>
          <w:highlight w:val="none"/>
        </w:rPr>
      </w:pPr>
      <w:r>
        <w:rPr>
          <w:rFonts w:hint="eastAsia" w:ascii="Times New Roman"/>
          <w:color w:val="000000"/>
        </w:rPr>
        <w:t>第10部分：气相色谱质谱</w:t>
      </w:r>
      <w:r>
        <w:rPr>
          <w:rFonts w:hint="eastAsia" w:ascii="Times New Roman"/>
          <w:color w:val="000000"/>
          <w:highlight w:val="none"/>
        </w:rPr>
        <w:t>法（GC-MS）测定聚合物和电子件中的多环芳烃（PAHs）</w:t>
      </w:r>
    </w:p>
    <w:p>
      <w:pPr>
        <w:pStyle w:val="28"/>
        <w:tabs>
          <w:tab w:val="clear" w:pos="4201"/>
          <w:tab w:val="clear" w:pos="9298"/>
        </w:tabs>
        <w:ind w:firstLine="0" w:firstLineChars="0"/>
        <w:rPr>
          <w:rFonts w:ascii="Times New Roman"/>
          <w:color w:val="000000"/>
          <w:highlight w:val="none"/>
        </w:rPr>
      </w:pPr>
      <w:r>
        <w:rPr>
          <w:rFonts w:hint="eastAsia" w:ascii="Times New Roman"/>
          <w:color w:val="000000"/>
          <w:highlight w:val="none"/>
        </w:rPr>
        <w:t xml:space="preserve">    本文件为GB/T 39560的第9部分。</w:t>
      </w:r>
    </w:p>
    <w:p>
      <w:pPr>
        <w:pStyle w:val="28"/>
        <w:rPr>
          <w:rFonts w:ascii="Times New Roman"/>
          <w:color w:val="000000"/>
        </w:rPr>
      </w:pPr>
      <w:r>
        <w:rPr>
          <w:rFonts w:hint="eastAsia" w:ascii="Times New Roman"/>
          <w:color w:val="000000"/>
        </w:rPr>
        <w:t>本文件</w:t>
      </w:r>
      <w:r>
        <w:rPr>
          <w:rFonts w:ascii="Times New Roman"/>
          <w:color w:val="000000"/>
        </w:rPr>
        <w:t>按照GB/T 1.1-</w:t>
      </w:r>
      <w:r>
        <w:rPr>
          <w:rFonts w:hint="eastAsia" w:ascii="Times New Roman"/>
          <w:color w:val="000000"/>
        </w:rPr>
        <w:t>2020</w:t>
      </w:r>
      <w:r>
        <w:rPr>
          <w:rFonts w:ascii="Times New Roman"/>
          <w:color w:val="000000"/>
        </w:rPr>
        <w:t>给出的规则起草。</w:t>
      </w:r>
    </w:p>
    <w:p>
      <w:pPr>
        <w:pStyle w:val="28"/>
        <w:rPr>
          <w:rFonts w:ascii="Times New Roman"/>
          <w:color w:val="000000"/>
        </w:rPr>
      </w:pPr>
      <w:r>
        <w:rPr>
          <w:rFonts w:hint="eastAsia" w:ascii="Times New Roman"/>
          <w:color w:val="000000"/>
        </w:rPr>
        <w:t>本文件</w:t>
      </w:r>
      <w:r>
        <w:rPr>
          <w:rFonts w:ascii="Times New Roman"/>
          <w:color w:val="000000"/>
        </w:rPr>
        <w:t>使用翻译法等同采用</w:t>
      </w:r>
      <w:r>
        <w:rPr>
          <w:rFonts w:hint="eastAsia" w:ascii="Times New Roman"/>
          <w:color w:val="000000"/>
        </w:rPr>
        <w:t>IEC 62321-9：2021</w:t>
      </w:r>
      <w:r>
        <w:rPr>
          <w:rFonts w:ascii="Times New Roman"/>
          <w:color w:val="000000"/>
        </w:rPr>
        <w:t xml:space="preserve"> 《</w:t>
      </w:r>
      <w:r>
        <w:rPr>
          <w:rFonts w:hint="eastAsia" w:ascii="Times New Roman"/>
          <w:color w:val="000000"/>
        </w:rPr>
        <w:t>电工电子产品中某些物质的测定  第9部分： 气相色谱质谱法（GC-MS）测定聚合物中的六溴环十二烷</w:t>
      </w:r>
      <w:r>
        <w:rPr>
          <w:rFonts w:ascii="Times New Roman"/>
          <w:color w:val="000000"/>
        </w:rPr>
        <w:t>》[</w:t>
      </w:r>
      <w:r>
        <w:rPr>
          <w:rFonts w:hint="eastAsia" w:ascii="Times New Roman"/>
          <w:color w:val="000000"/>
        </w:rPr>
        <w:t>Detemination of certain substances in electrotechnical products -  Part 9: Hexabromocyclododecane in polymers by gas chromatography-mass spectrometry (GC-MS)</w:t>
      </w:r>
      <w:r>
        <w:rPr>
          <w:rFonts w:ascii="Times New Roman"/>
          <w:color w:val="000000"/>
        </w:rPr>
        <w:t xml:space="preserve">]。 </w:t>
      </w:r>
    </w:p>
    <w:p>
      <w:pPr>
        <w:pStyle w:val="28"/>
        <w:rPr>
          <w:rFonts w:ascii="Times New Roman"/>
          <w:color w:val="000000"/>
        </w:rPr>
      </w:pPr>
      <w:r>
        <w:rPr>
          <w:rFonts w:hint="eastAsia" w:ascii="Times New Roman"/>
          <w:color w:val="000000"/>
        </w:rPr>
        <w:t>本文件</w:t>
      </w:r>
      <w:r>
        <w:rPr>
          <w:rFonts w:ascii="Times New Roman"/>
          <w:color w:val="000000"/>
        </w:rPr>
        <w:t>做了下列编辑性修改：</w:t>
      </w:r>
    </w:p>
    <w:p>
      <w:pPr>
        <w:pStyle w:val="28"/>
        <w:ind w:left="840" w:leftChars="200" w:hanging="420" w:hangingChars="200"/>
        <w:rPr>
          <w:rFonts w:ascii="Times New Roman"/>
          <w:color w:val="000000"/>
        </w:rPr>
      </w:pPr>
      <w:r>
        <w:rPr>
          <w:rFonts w:ascii="Times New Roman"/>
          <w:color w:val="000000"/>
        </w:rPr>
        <w:t>——为了与我国现有标准系列一致，将标准名称改为</w:t>
      </w:r>
      <w:r>
        <w:rPr>
          <w:rFonts w:hint="eastAsia" w:ascii="Times New Roman"/>
          <w:color w:val="000000"/>
        </w:rPr>
        <w:t>“电子电气产品中某些物质的测定  第9部分： 气相色谱质谱法（GC-MS）测定聚合物中的六溴环十二烷”</w:t>
      </w:r>
      <w:r>
        <w:rPr>
          <w:rFonts w:ascii="Times New Roman"/>
          <w:color w:val="000000"/>
        </w:rPr>
        <w:t>；</w:t>
      </w:r>
    </w:p>
    <w:p>
      <w:pPr>
        <w:pStyle w:val="28"/>
        <w:ind w:left="850" w:leftChars="204" w:hanging="422" w:hangingChars="201"/>
        <w:rPr>
          <w:rFonts w:ascii="Times New Roman"/>
          <w:color w:val="000000"/>
        </w:rPr>
      </w:pPr>
      <w:r>
        <w:rPr>
          <w:rFonts w:ascii="Times New Roman"/>
          <w:color w:val="000000"/>
        </w:rPr>
        <w:t>——</w:t>
      </w:r>
      <w:r>
        <w:rPr>
          <w:rFonts w:hint="eastAsia" w:ascii="Times New Roman"/>
          <w:color w:val="000000"/>
        </w:rPr>
        <w:t>将“豁免”改为“应用例外”；</w:t>
      </w:r>
    </w:p>
    <w:p>
      <w:pPr>
        <w:pStyle w:val="28"/>
        <w:rPr>
          <w:rFonts w:ascii="Times New Roman"/>
          <w:color w:val="000000"/>
        </w:rPr>
      </w:pPr>
      <w:r>
        <w:rPr>
          <w:rFonts w:ascii="Times New Roman"/>
          <w:color w:val="000000"/>
        </w:rPr>
        <w:t>与</w:t>
      </w:r>
      <w:r>
        <w:rPr>
          <w:rFonts w:hint="eastAsia" w:ascii="Times New Roman"/>
          <w:color w:val="000000"/>
        </w:rPr>
        <w:t>本文件</w:t>
      </w:r>
      <w:r>
        <w:rPr>
          <w:rFonts w:ascii="Times New Roman"/>
          <w:color w:val="000000"/>
        </w:rPr>
        <w:t>中规范性引用的国际文件有一致性对应关系的我国文件如下：</w:t>
      </w:r>
    </w:p>
    <w:p>
      <w:pPr>
        <w:autoSpaceDE w:val="0"/>
        <w:autoSpaceDN w:val="0"/>
        <w:adjustRightInd w:val="0"/>
        <w:ind w:firstLine="420" w:firstLineChars="200"/>
        <w:jc w:val="left"/>
      </w:pPr>
      <w:r>
        <w:rPr>
          <w:color w:val="000000"/>
        </w:rPr>
        <w:t>——</w:t>
      </w:r>
      <w:r>
        <w:rPr>
          <w:rFonts w:hint="eastAsia"/>
        </w:rPr>
        <w:t>GB/Z 30374-2013 电子电气产品中限用物质评价指南</w:t>
      </w:r>
      <w:r>
        <w:t>（</w:t>
      </w:r>
      <w:r>
        <w:rPr>
          <w:rFonts w:hint="eastAsia"/>
        </w:rPr>
        <w:t>IEC/TR 62476:2010</w:t>
      </w:r>
      <w:r>
        <w:t>，</w:t>
      </w:r>
      <w:r>
        <w:rPr>
          <w:rFonts w:hint="eastAsia"/>
        </w:rPr>
        <w:t>IDT</w:t>
      </w:r>
      <w:r>
        <w:t>）</w:t>
      </w:r>
      <w:r>
        <w:rPr>
          <w:rFonts w:hint="eastAsia"/>
        </w:rPr>
        <w:t>；</w:t>
      </w:r>
    </w:p>
    <w:p>
      <w:pPr>
        <w:autoSpaceDE w:val="0"/>
        <w:autoSpaceDN w:val="0"/>
        <w:adjustRightInd w:val="0"/>
        <w:ind w:firstLine="420" w:firstLineChars="200"/>
        <w:jc w:val="left"/>
      </w:pPr>
      <w:r>
        <w:rPr>
          <w:rStyle w:val="219"/>
          <w:rFonts w:ascii="Times New Roman" w:hAnsi="Times New Roman" w:cs="Times New Roman" w:eastAsiaTheme="minorEastAsia"/>
          <w:iCs/>
          <w:color w:val="000000"/>
          <w:sz w:val="21"/>
          <w:szCs w:val="21"/>
        </w:rPr>
        <w:t>——</w:t>
      </w:r>
      <w:r>
        <w:rPr>
          <w:rStyle w:val="219"/>
          <w:rFonts w:hint="eastAsia" w:ascii="Times New Roman" w:hAnsi="Times New Roman" w:cs="Times New Roman" w:eastAsiaTheme="minorEastAsia"/>
          <w:iCs/>
          <w:color w:val="000000"/>
          <w:sz w:val="21"/>
          <w:szCs w:val="21"/>
        </w:rPr>
        <w:t>GB/Z 32582-2016</w:t>
      </w:r>
      <w:r>
        <w:rPr>
          <w:rStyle w:val="219"/>
          <w:rFonts w:ascii="Times New Roman" w:hAnsi="Times New Roman" w:cs="Times New Roman" w:eastAsiaTheme="minorEastAsia"/>
          <w:iCs/>
          <w:color w:val="000000"/>
          <w:sz w:val="21"/>
          <w:szCs w:val="21"/>
        </w:rPr>
        <w:t>，</w:t>
      </w:r>
      <w:r>
        <w:rPr>
          <w:rStyle w:val="219"/>
          <w:rFonts w:hint="eastAsia" w:ascii="Times New Roman" w:hAnsi="Times New Roman" w:cs="Times New Roman" w:eastAsiaTheme="minorEastAsia"/>
          <w:iCs/>
          <w:color w:val="000000"/>
          <w:sz w:val="21"/>
          <w:szCs w:val="21"/>
        </w:rPr>
        <w:t>电子电气产品与系统环境标准化 环境因素标准化 术语</w:t>
      </w:r>
      <w:r>
        <w:rPr>
          <w:rStyle w:val="219"/>
          <w:rFonts w:hint="eastAsia" w:cs="Times New Roman" w:eastAsiaTheme="minorEastAsia"/>
          <w:iCs/>
          <w:color w:val="000000"/>
          <w:sz w:val="21"/>
          <w:szCs w:val="21"/>
        </w:rPr>
        <w:t>（IEC 62542 FDIS:2013，MOD）</w:t>
      </w:r>
      <w:r>
        <w:t>。</w:t>
      </w:r>
    </w:p>
    <w:p>
      <w:pPr>
        <w:pStyle w:val="28"/>
        <w:rPr>
          <w:rFonts w:ascii="Times New Roman"/>
          <w:color w:val="000000"/>
        </w:rPr>
      </w:pPr>
      <w:r>
        <w:rPr>
          <w:rFonts w:hint="eastAsia" w:ascii="Times New Roman"/>
          <w:color w:val="000000"/>
        </w:rPr>
        <w:t>本文件</w:t>
      </w:r>
      <w:r>
        <w:rPr>
          <w:rFonts w:ascii="Times New Roman"/>
          <w:color w:val="000000"/>
        </w:rPr>
        <w:t>由全国电工电子产品与系统的环境标准化技术委员会（SAC/TC297）提出并归口。</w:t>
      </w:r>
    </w:p>
    <w:p>
      <w:pPr>
        <w:pStyle w:val="28"/>
        <w:rPr>
          <w:rFonts w:ascii="Times New Roman"/>
          <w:color w:val="000000"/>
        </w:rPr>
      </w:pPr>
      <w:r>
        <w:rPr>
          <w:rFonts w:hint="eastAsia" w:ascii="Times New Roman"/>
          <w:color w:val="000000"/>
        </w:rPr>
        <w:t>本文件</w:t>
      </w:r>
      <w:r>
        <w:rPr>
          <w:rFonts w:ascii="Times New Roman"/>
          <w:color w:val="000000"/>
        </w:rPr>
        <w:t>起草单位：</w:t>
      </w:r>
      <w:r>
        <w:rPr>
          <w:rFonts w:hint="eastAsia" w:ascii="Times New Roman"/>
          <w:color w:val="000000"/>
        </w:rPr>
        <w:t>XXX。</w:t>
      </w:r>
    </w:p>
    <w:p>
      <w:pPr>
        <w:pStyle w:val="28"/>
        <w:rPr>
          <w:rFonts w:ascii="Times New Roman"/>
          <w:color w:val="000000"/>
        </w:rPr>
      </w:pPr>
      <w:r>
        <w:rPr>
          <w:rFonts w:hint="eastAsia" w:ascii="Times New Roman"/>
          <w:color w:val="000000"/>
        </w:rPr>
        <w:t>本文件主要起草人：XXX。</w:t>
      </w:r>
    </w:p>
    <w:bookmarkEnd w:id="11"/>
    <w:p>
      <w:pPr>
        <w:pStyle w:val="117"/>
        <w:rPr>
          <w:rFonts w:hint="eastAsia" w:ascii="Times New Roman"/>
        </w:rPr>
        <w:sectPr>
          <w:footerReference r:id="rId7" w:type="default"/>
          <w:footerReference r:id="rId8" w:type="even"/>
          <w:pgSz w:w="11906" w:h="16838"/>
          <w:pgMar w:top="567" w:right="1134" w:bottom="1134" w:left="1418" w:header="1418" w:footer="1134" w:gutter="0"/>
          <w:pgNumType w:fmt="upperRoman" w:start="2"/>
          <w:cols w:space="425" w:num="1"/>
          <w:formProt w:val="0"/>
          <w:docGrid w:type="lines" w:linePitch="312" w:charSpace="0"/>
        </w:sectPr>
      </w:pPr>
    </w:p>
    <w:p>
      <w:pPr>
        <w:keepNext/>
        <w:pageBreakBefore/>
        <w:widowControl/>
        <w:shd w:val="clear" w:color="FFFFFF" w:fill="FFFFFF"/>
        <w:spacing w:before="640" w:after="560" w:line="460" w:lineRule="exact"/>
        <w:jc w:val="center"/>
        <w:outlineLvl w:val="0"/>
        <w:rPr>
          <w:rFonts w:eastAsia="黑体"/>
          <w:kern w:val="0"/>
          <w:sz w:val="32"/>
          <w:szCs w:val="20"/>
        </w:rPr>
      </w:pPr>
      <w:r>
        <w:rPr>
          <w:rFonts w:eastAsia="黑体"/>
          <w:kern w:val="0"/>
          <w:sz w:val="32"/>
          <w:szCs w:val="20"/>
        </w:rPr>
        <w:t>电子电气产品中某些物质的测定</w:t>
      </w:r>
      <w:r>
        <w:rPr>
          <w:rFonts w:eastAsia="黑体"/>
          <w:kern w:val="0"/>
          <w:sz w:val="32"/>
          <w:szCs w:val="20"/>
        </w:rPr>
        <w:br w:type="textWrapping"/>
      </w:r>
      <w:r>
        <w:rPr>
          <w:rFonts w:eastAsia="黑体"/>
          <w:kern w:val="0"/>
          <w:sz w:val="32"/>
          <w:szCs w:val="20"/>
        </w:rPr>
        <w:t>第9部分：使用气相色谱</w:t>
      </w:r>
      <w:r>
        <w:rPr>
          <w:rFonts w:hint="eastAsia" w:eastAsia="黑体"/>
          <w:kern w:val="0"/>
          <w:sz w:val="32"/>
          <w:szCs w:val="20"/>
          <w:lang w:val="en-US" w:eastAsia="zh-CN"/>
        </w:rPr>
        <w:t>-</w:t>
      </w:r>
      <w:r>
        <w:rPr>
          <w:rFonts w:eastAsia="黑体"/>
          <w:kern w:val="0"/>
          <w:sz w:val="32"/>
          <w:szCs w:val="20"/>
        </w:rPr>
        <w:t>质谱联法（GC-MS）测定聚合物中的六溴环十二烷</w:t>
      </w:r>
    </w:p>
    <w:p>
      <w:pPr>
        <w:pStyle w:val="28"/>
        <w:spacing w:before="156" w:after="156"/>
        <w:ind w:left="0" w:leftChars="0" w:firstLine="0" w:firstLineChars="0"/>
        <w:rPr>
          <w:rFonts w:ascii="Times New Roman"/>
          <w:b/>
          <w:bCs/>
          <w:szCs w:val="21"/>
          <w:highlight w:val="none"/>
        </w:rPr>
      </w:pPr>
      <w:r>
        <w:rPr>
          <w:rFonts w:hint="eastAsia" w:ascii="Times New Roman"/>
          <w:b/>
          <w:bCs/>
          <w:szCs w:val="21"/>
          <w:highlight w:val="none"/>
          <w:lang w:val="en-US" w:eastAsia="zh-CN"/>
        </w:rPr>
        <w:t xml:space="preserve">  </w:t>
      </w:r>
      <w:r>
        <w:rPr>
          <w:rFonts w:ascii="Times New Roman"/>
          <w:b/>
          <w:bCs/>
          <w:szCs w:val="21"/>
          <w:highlight w:val="none"/>
        </w:rPr>
        <w:t>警示——使用本部分的人员应有正规实验室工作的实践经验。本部分并未指出所有可能的安全问题。使用者有责任采取适当的安全和健康措施，并保证符合国家有关法规规定的条件。</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1 范围</w:t>
      </w:r>
    </w:p>
    <w:p>
      <w:pPr>
        <w:ind w:firstLine="420" w:firstLineChars="200"/>
        <w:rPr>
          <w:kern w:val="0"/>
          <w:szCs w:val="21"/>
        </w:rPr>
      </w:pPr>
      <w:r>
        <w:rPr>
          <w:rFonts w:hint="eastAsia"/>
          <w:kern w:val="0"/>
          <w:szCs w:val="21"/>
          <w:highlight w:val="none"/>
          <w:lang w:eastAsia="zh-CN"/>
        </w:rPr>
        <w:t>GB/T 39560</w:t>
      </w:r>
      <w:r>
        <w:rPr>
          <w:kern w:val="0"/>
          <w:szCs w:val="21"/>
          <w:highlight w:val="none"/>
        </w:rPr>
        <w:t>的本</w:t>
      </w:r>
      <w:r>
        <w:rPr>
          <w:kern w:val="0"/>
          <w:szCs w:val="21"/>
        </w:rPr>
        <w:t>部分规范了电子电气产品聚合物中六溴环十二烷（HBCDD）的两种测定方法。</w:t>
      </w:r>
    </w:p>
    <w:p>
      <w:pPr>
        <w:ind w:firstLine="420" w:firstLineChars="200"/>
        <w:rPr>
          <w:kern w:val="0"/>
          <w:szCs w:val="21"/>
          <w:highlight w:val="none"/>
        </w:rPr>
      </w:pPr>
      <w:r>
        <w:rPr>
          <w:rFonts w:hint="eastAsia"/>
          <w:kern w:val="0"/>
          <w:szCs w:val="21"/>
          <w:highlight w:val="none"/>
        </w:rPr>
        <w:t>本文件的</w:t>
      </w:r>
      <w:r>
        <w:rPr>
          <w:rFonts w:hint="eastAsia"/>
          <w:kern w:val="0"/>
          <w:szCs w:val="21"/>
          <w:highlight w:val="none"/>
          <w:lang w:val="en-US" w:eastAsia="zh-CN"/>
        </w:rPr>
        <w:t>正文部分</w:t>
      </w:r>
      <w:r>
        <w:rPr>
          <w:rFonts w:hint="eastAsia"/>
          <w:kern w:val="0"/>
          <w:szCs w:val="21"/>
          <w:highlight w:val="none"/>
        </w:rPr>
        <w:t>规范了电子电气产品聚合物中HBCCD总量测定的气相色谱</w:t>
      </w:r>
      <w:r>
        <w:rPr>
          <w:kern w:val="0"/>
          <w:szCs w:val="21"/>
          <w:highlight w:val="none"/>
        </w:rPr>
        <w:t>-</w:t>
      </w:r>
      <w:r>
        <w:rPr>
          <w:rFonts w:hint="eastAsia"/>
          <w:kern w:val="0"/>
          <w:szCs w:val="21"/>
          <w:highlight w:val="none"/>
        </w:rPr>
        <w:t>质谱（</w:t>
      </w:r>
      <w:r>
        <w:rPr>
          <w:kern w:val="0"/>
          <w:szCs w:val="21"/>
          <w:highlight w:val="none"/>
        </w:rPr>
        <w:t>GC-MS</w:t>
      </w:r>
      <w:r>
        <w:rPr>
          <w:rFonts w:hint="eastAsia"/>
          <w:kern w:val="0"/>
          <w:szCs w:val="21"/>
          <w:highlight w:val="none"/>
        </w:rPr>
        <w:t>）</w:t>
      </w:r>
      <w:r>
        <w:rPr>
          <w:rFonts w:hint="eastAsia"/>
          <w:kern w:val="0"/>
          <w:szCs w:val="21"/>
          <w:highlight w:val="none"/>
          <w:lang w:val="en-US" w:eastAsia="zh-CN"/>
        </w:rPr>
        <w:t>测试</w:t>
      </w:r>
      <w:r>
        <w:rPr>
          <w:rFonts w:hint="eastAsia"/>
          <w:kern w:val="0"/>
          <w:szCs w:val="21"/>
          <w:highlight w:val="none"/>
        </w:rPr>
        <w:t>方法。</w:t>
      </w:r>
    </w:p>
    <w:p>
      <w:pPr>
        <w:ind w:firstLine="420" w:firstLineChars="200"/>
        <w:rPr>
          <w:kern w:val="0"/>
          <w:szCs w:val="21"/>
        </w:rPr>
      </w:pPr>
      <w:r>
        <w:rPr>
          <w:kern w:val="0"/>
          <w:szCs w:val="21"/>
        </w:rPr>
        <w:t>资料性附录A</w:t>
      </w:r>
      <w:r>
        <w:rPr>
          <w:rFonts w:hint="eastAsia"/>
          <w:kern w:val="0"/>
          <w:szCs w:val="21"/>
          <w:lang w:val="en-US" w:eastAsia="zh-CN"/>
        </w:rPr>
        <w:t>给出电子电气产品聚合物中HBCCD总量测定的</w:t>
      </w:r>
      <w:r>
        <w:rPr>
          <w:kern w:val="0"/>
          <w:szCs w:val="21"/>
        </w:rPr>
        <w:t>高</w:t>
      </w:r>
      <w:r>
        <w:rPr>
          <w:rFonts w:hint="eastAsia"/>
          <w:kern w:val="0"/>
          <w:szCs w:val="21"/>
          <w:lang w:val="en-US" w:eastAsia="zh-CN"/>
        </w:rPr>
        <w:t>效</w:t>
      </w:r>
      <w:r>
        <w:rPr>
          <w:kern w:val="0"/>
          <w:szCs w:val="21"/>
        </w:rPr>
        <w:t>液相色谱-质谱（HPLC-MS）</w:t>
      </w:r>
      <w:r>
        <w:rPr>
          <w:rFonts w:hint="eastAsia"/>
          <w:kern w:val="0"/>
          <w:szCs w:val="21"/>
          <w:lang w:val="en-US" w:eastAsia="zh-CN"/>
        </w:rPr>
        <w:t>测试方法</w:t>
      </w:r>
      <w:r>
        <w:rPr>
          <w:kern w:val="0"/>
          <w:szCs w:val="21"/>
        </w:rPr>
        <w:t>。</w:t>
      </w:r>
    </w:p>
    <w:p>
      <w:pPr>
        <w:ind w:firstLine="420" w:firstLineChars="200"/>
        <w:rPr>
          <w:kern w:val="0"/>
          <w:szCs w:val="21"/>
        </w:rPr>
      </w:pPr>
      <w:r>
        <w:rPr>
          <w:rFonts w:hint="eastAsia"/>
          <w:kern w:val="0"/>
          <w:szCs w:val="21"/>
          <w:lang w:val="en-US" w:eastAsia="zh-CN"/>
        </w:rPr>
        <w:t>本</w:t>
      </w:r>
      <w:r>
        <w:rPr>
          <w:kern w:val="0"/>
          <w:szCs w:val="21"/>
        </w:rPr>
        <w:t>方法在发泡聚苯乙烯（EPS）、挤塑聚苯乙烯（XPS）</w:t>
      </w:r>
      <w:r>
        <w:rPr>
          <w:rFonts w:hint="eastAsia"/>
          <w:kern w:val="0"/>
          <w:szCs w:val="21"/>
          <w:lang w:val="en-US" w:eastAsia="zh-CN"/>
        </w:rPr>
        <w:t>和</w:t>
      </w:r>
      <w:r>
        <w:rPr>
          <w:kern w:val="0"/>
          <w:szCs w:val="21"/>
        </w:rPr>
        <w:t>丙烯腈-丁二烯-苯乙烯（ABS）</w:t>
      </w:r>
      <w:r>
        <w:rPr>
          <w:rFonts w:hint="eastAsia"/>
          <w:kern w:val="0"/>
          <w:szCs w:val="21"/>
          <w:lang w:val="en-US" w:eastAsia="zh-CN"/>
        </w:rPr>
        <w:t>等基体样品</w:t>
      </w:r>
      <w:r>
        <w:rPr>
          <w:kern w:val="0"/>
          <w:szCs w:val="21"/>
        </w:rPr>
        <w:t>已经</w:t>
      </w:r>
      <w:r>
        <w:rPr>
          <w:kern w:val="0"/>
          <w:szCs w:val="21"/>
          <w:highlight w:val="none"/>
        </w:rPr>
        <w:t>过</w:t>
      </w:r>
      <w:r>
        <w:rPr>
          <w:rFonts w:hint="eastAsia"/>
          <w:kern w:val="0"/>
          <w:szCs w:val="21"/>
          <w:highlight w:val="none"/>
          <w:lang w:val="en-US" w:eastAsia="zh-CN"/>
        </w:rPr>
        <w:t>验证</w:t>
      </w:r>
      <w:r>
        <w:rPr>
          <w:kern w:val="0"/>
          <w:szCs w:val="21"/>
          <w:highlight w:val="none"/>
        </w:rPr>
        <w:t>，</w:t>
      </w:r>
      <w:r>
        <w:rPr>
          <w:rFonts w:hint="eastAsia"/>
          <w:kern w:val="0"/>
          <w:szCs w:val="21"/>
        </w:rPr>
        <w:t>验证样品的浓度范围见表1</w:t>
      </w:r>
      <w:r>
        <w:rPr>
          <w:rFonts w:hint="eastAsia"/>
          <w:kern w:val="0"/>
          <w:szCs w:val="21"/>
          <w:lang w:eastAsia="zh-CN"/>
        </w:rPr>
        <w:t>。</w:t>
      </w:r>
      <w:r>
        <w:rPr>
          <w:rFonts w:hint="eastAsia"/>
          <w:kern w:val="0"/>
          <w:szCs w:val="21"/>
        </w:rPr>
        <w:t>本标准尚未对其他材料或其他浓度范围进行验证。</w:t>
      </w:r>
    </w:p>
    <w:p>
      <w:pPr>
        <w:spacing w:before="156" w:beforeLines="50" w:after="156" w:afterLines="50"/>
        <w:jc w:val="center"/>
        <w:rPr>
          <w:b/>
          <w:bCs/>
          <w:szCs w:val="21"/>
        </w:rPr>
      </w:pPr>
      <w:r>
        <w:rPr>
          <w:b/>
          <w:bCs/>
          <w:szCs w:val="21"/>
        </w:rPr>
        <w:t>表1各种材料中HBCDD的GC-MS检测浓度范围</w:t>
      </w:r>
    </w:p>
    <w:tbl>
      <w:tblPr>
        <w:tblStyle w:val="37"/>
        <w:tblW w:w="9468" w:type="dxa"/>
        <w:tblInd w:w="0" w:type="dxa"/>
        <w:tblLayout w:type="fixed"/>
        <w:tblCellMar>
          <w:top w:w="0" w:type="dxa"/>
          <w:left w:w="57" w:type="dxa"/>
          <w:bottom w:w="0" w:type="dxa"/>
          <w:right w:w="57" w:type="dxa"/>
        </w:tblCellMar>
      </w:tblPr>
      <w:tblGrid>
        <w:gridCol w:w="2514"/>
        <w:gridCol w:w="4180"/>
        <w:gridCol w:w="2774"/>
      </w:tblGrid>
      <w:tr>
        <w:tblPrEx>
          <w:tblCellMar>
            <w:top w:w="0" w:type="dxa"/>
            <w:left w:w="57" w:type="dxa"/>
            <w:bottom w:w="0" w:type="dxa"/>
            <w:right w:w="57" w:type="dxa"/>
          </w:tblCellMar>
        </w:tblPrEx>
        <w:tc>
          <w:tcPr>
            <w:tcW w:w="251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物质或元素</w:t>
            </w:r>
          </w:p>
        </w:tc>
        <w:tc>
          <w:tcPr>
            <w:tcW w:w="695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p>
        </w:tc>
      </w:tr>
      <w:tr>
        <w:tblPrEx>
          <w:tblCellMar>
            <w:top w:w="0" w:type="dxa"/>
            <w:left w:w="57" w:type="dxa"/>
            <w:bottom w:w="0" w:type="dxa"/>
            <w:right w:w="57" w:type="dxa"/>
          </w:tblCellMar>
        </w:tblPrEx>
        <w:tc>
          <w:tcPr>
            <w:tcW w:w="2514" w:type="dxa"/>
            <w:vMerge w:val="restart"/>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参数</w:t>
            </w:r>
          </w:p>
        </w:tc>
        <w:tc>
          <w:tcPr>
            <w:tcW w:w="695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检测介质或材料</w:t>
            </w:r>
          </w:p>
        </w:tc>
      </w:tr>
      <w:tr>
        <w:tblPrEx>
          <w:tblCellMar>
            <w:top w:w="0" w:type="dxa"/>
            <w:left w:w="57" w:type="dxa"/>
            <w:bottom w:w="0" w:type="dxa"/>
            <w:right w:w="57" w:type="dxa"/>
          </w:tblCellMar>
        </w:tblPrEx>
        <w:tc>
          <w:tcPr>
            <w:tcW w:w="2514" w:type="dxa"/>
            <w:vMerge w:val="continue"/>
            <w:tcBorders>
              <w:left w:val="single" w:color="auto" w:sz="4" w:space="0"/>
            </w:tcBorders>
            <w:shd w:val="clear" w:color="auto" w:fill="FFFFFF"/>
            <w:vAlign w:val="center"/>
          </w:tcPr>
          <w:p>
            <w:pPr>
              <w:jc w:val="center"/>
              <w:rPr>
                <w:rFonts w:eastAsia="Microsoft JhengHei Light"/>
                <w:color w:val="000000"/>
                <w:kern w:val="0"/>
                <w:szCs w:val="21"/>
                <w:lang w:bidi="en-US"/>
              </w:rPr>
            </w:pPr>
          </w:p>
        </w:tc>
        <w:tc>
          <w:tcPr>
            <w:tcW w:w="418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EPS/XPS</w:t>
            </w:r>
          </w:p>
        </w:tc>
        <w:tc>
          <w:tcPr>
            <w:tcW w:w="277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ABS</w:t>
            </w:r>
          </w:p>
        </w:tc>
      </w:tr>
      <w:tr>
        <w:tblPrEx>
          <w:tblCellMar>
            <w:top w:w="0" w:type="dxa"/>
            <w:left w:w="57" w:type="dxa"/>
            <w:bottom w:w="0" w:type="dxa"/>
            <w:right w:w="57" w:type="dxa"/>
          </w:tblCellMar>
        </w:tblPrEx>
        <w:tc>
          <w:tcPr>
            <w:tcW w:w="2514"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检测浓度范围</w:t>
            </w:r>
            <w:r>
              <w:rPr>
                <w:rFonts w:hint="eastAsia"/>
                <w:color w:val="000000"/>
                <w:kern w:val="0"/>
                <w:szCs w:val="21"/>
                <w:lang w:val="en-US" w:eastAsia="zh-CN" w:bidi="en-US"/>
              </w:rPr>
              <w:t>/(</w:t>
            </w:r>
            <w:r>
              <w:rPr>
                <w:rFonts w:hint="default"/>
                <w:color w:val="000000"/>
                <w:kern w:val="0"/>
                <w:szCs w:val="21"/>
                <w:lang w:bidi="en-US"/>
              </w:rPr>
              <w:t>mg/kg</w:t>
            </w:r>
            <w:r>
              <w:rPr>
                <w:rFonts w:hint="eastAsia"/>
                <w:color w:val="000000"/>
                <w:kern w:val="0"/>
                <w:szCs w:val="21"/>
                <w:lang w:val="en-US" w:eastAsia="zh-CN" w:bidi="en-US"/>
              </w:rPr>
              <w:t>)</w:t>
            </w:r>
          </w:p>
        </w:tc>
        <w:tc>
          <w:tcPr>
            <w:tcW w:w="418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6080至11940</w:t>
            </w:r>
          </w:p>
        </w:tc>
        <w:tc>
          <w:tcPr>
            <w:tcW w:w="277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1000至10000</w:t>
            </w:r>
          </w:p>
        </w:tc>
      </w:tr>
    </w:tbl>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2 规范性引用文件</w:t>
      </w:r>
    </w:p>
    <w:p>
      <w:pPr>
        <w:ind w:firstLine="420" w:firstLineChars="200"/>
        <w:rPr>
          <w:rFonts w:hint="eastAsia" w:eastAsia="宋体"/>
          <w:kern w:val="0"/>
          <w:szCs w:val="21"/>
          <w:highlight w:val="none"/>
          <w:lang w:eastAsia="zh-CN"/>
        </w:rPr>
      </w:pPr>
      <w:r>
        <w:rPr>
          <w:rFonts w:hint="eastAsia"/>
          <w:kern w:val="0"/>
          <w:szCs w:val="21"/>
          <w:highlight w:val="none"/>
        </w:rPr>
        <w:t>下列文件中的内容通过文中的规范性引用而构成本文件必不可少的条款。其中，注日期的引用文件，仅该日期对应的版本适用于本文件；不注日期的引用文件，其最新版本（包括所有的修改单）适用千本文件</w:t>
      </w:r>
      <w:r>
        <w:rPr>
          <w:rFonts w:hint="eastAsia"/>
          <w:kern w:val="0"/>
          <w:szCs w:val="21"/>
          <w:highlight w:val="none"/>
          <w:lang w:eastAsia="zh-CN"/>
        </w:rPr>
        <w:t>。</w:t>
      </w:r>
    </w:p>
    <w:p>
      <w:pPr>
        <w:ind w:firstLine="420" w:firstLineChars="200"/>
        <w:rPr>
          <w:kern w:val="0"/>
          <w:szCs w:val="21"/>
        </w:rPr>
      </w:pPr>
      <w:r>
        <w:rPr>
          <w:rFonts w:hint="eastAsia"/>
          <w:szCs w:val="21"/>
          <w:highlight w:val="none"/>
          <w:lang w:val="en-US" w:eastAsia="zh-CN"/>
        </w:rPr>
        <w:t>GB/T 39560.1</w:t>
      </w:r>
      <w:r>
        <w:rPr>
          <w:kern w:val="0"/>
          <w:szCs w:val="21"/>
          <w:highlight w:val="none"/>
        </w:rPr>
        <w:t xml:space="preserve"> 电子</w:t>
      </w:r>
      <w:r>
        <w:rPr>
          <w:kern w:val="0"/>
          <w:szCs w:val="21"/>
        </w:rPr>
        <w:t>电气产品中某些物质的测定——第1部分：介绍和概述</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3 术语、定义与缩略语</w:t>
      </w:r>
    </w:p>
    <w:p>
      <w:pPr>
        <w:pStyle w:val="47"/>
      </w:pPr>
      <w:bookmarkStart w:id="12" w:name="bookmark1"/>
      <w:r>
        <w:t>3.1术语和定义</w:t>
      </w:r>
      <w:bookmarkEnd w:id="12"/>
    </w:p>
    <w:p>
      <w:pPr>
        <w:ind w:firstLine="420" w:firstLineChars="200"/>
        <w:rPr>
          <w:kern w:val="0"/>
          <w:szCs w:val="21"/>
        </w:rPr>
      </w:pPr>
      <w:r>
        <w:rPr>
          <w:rFonts w:hint="eastAsia"/>
          <w:szCs w:val="21"/>
          <w:highlight w:val="none"/>
          <w:lang w:val="en-US" w:eastAsia="zh-CN"/>
        </w:rPr>
        <w:t>GB/T 39560.1</w:t>
      </w:r>
      <w:r>
        <w:rPr>
          <w:kern w:val="0"/>
          <w:szCs w:val="21"/>
          <w:highlight w:val="none"/>
        </w:rPr>
        <w:t>界</w:t>
      </w:r>
      <w:r>
        <w:rPr>
          <w:kern w:val="0"/>
          <w:szCs w:val="21"/>
        </w:rPr>
        <w:t>定的以及下列术语和定义适用于本文件。</w:t>
      </w:r>
    </w:p>
    <w:p>
      <w:pPr>
        <w:ind w:firstLine="420" w:firstLineChars="200"/>
        <w:rPr>
          <w:kern w:val="0"/>
          <w:szCs w:val="21"/>
        </w:rPr>
      </w:pPr>
      <w:r>
        <w:rPr>
          <w:kern w:val="0"/>
          <w:szCs w:val="21"/>
        </w:rPr>
        <w:t>ISO和</w:t>
      </w:r>
      <w:r>
        <w:rPr>
          <w:color w:val="000000"/>
          <w:kern w:val="0"/>
          <w:szCs w:val="21"/>
          <w:shd w:val="clear" w:color="auto" w:fill="FFFFFF"/>
        </w:rPr>
        <w:t>IEC</w:t>
      </w:r>
      <w:r>
        <w:rPr>
          <w:kern w:val="0"/>
          <w:szCs w:val="21"/>
        </w:rPr>
        <w:t>在以下地址维护用于标准化的术语数据库：</w:t>
      </w:r>
    </w:p>
    <w:p>
      <w:pPr>
        <w:ind w:firstLine="420" w:firstLineChars="200"/>
        <w:rPr>
          <w:kern w:val="0"/>
          <w:szCs w:val="21"/>
        </w:rPr>
      </w:pPr>
      <w:r>
        <w:rPr>
          <w:kern w:val="0"/>
          <w:szCs w:val="21"/>
        </w:rPr>
        <w:t>•</w:t>
      </w:r>
      <w:r>
        <w:rPr>
          <w:kern w:val="0"/>
          <w:szCs w:val="21"/>
        </w:rPr>
        <w:tab/>
      </w:r>
      <w:r>
        <w:rPr>
          <w:kern w:val="0"/>
          <w:szCs w:val="21"/>
        </w:rPr>
        <w:t>IEC电工百科：可登录</w:t>
      </w:r>
      <w:r>
        <w:fldChar w:fldCharType="begin"/>
      </w:r>
      <w:r>
        <w:instrText xml:space="preserve"> HYPERLINK "http://www.electropedia.org/" </w:instrText>
      </w:r>
      <w:r>
        <w:fldChar w:fldCharType="separate"/>
      </w:r>
      <w:r>
        <w:rPr>
          <w:rFonts w:eastAsia="MingLiU_HKSCS"/>
          <w:kern w:val="0"/>
          <w:sz w:val="20"/>
          <w:szCs w:val="20"/>
        </w:rPr>
        <w:t>http://www.electropedia.org/</w:t>
      </w:r>
      <w:r>
        <w:rPr>
          <w:rFonts w:eastAsia="MingLiU_HKSCS"/>
          <w:kern w:val="0"/>
          <w:sz w:val="20"/>
          <w:szCs w:val="20"/>
        </w:rPr>
        <w:fldChar w:fldCharType="end"/>
      </w:r>
      <w:r>
        <w:rPr>
          <w:kern w:val="0"/>
          <w:szCs w:val="21"/>
        </w:rPr>
        <w:t>查阅</w:t>
      </w:r>
    </w:p>
    <w:p>
      <w:pPr>
        <w:ind w:firstLine="420" w:firstLineChars="200"/>
        <w:rPr>
          <w:kern w:val="0"/>
          <w:szCs w:val="21"/>
        </w:rPr>
      </w:pPr>
      <w:r>
        <w:rPr>
          <w:kern w:val="0"/>
          <w:szCs w:val="21"/>
        </w:rPr>
        <w:t>•</w:t>
      </w:r>
      <w:r>
        <w:rPr>
          <w:kern w:val="0"/>
          <w:szCs w:val="21"/>
        </w:rPr>
        <w:tab/>
      </w:r>
      <w:r>
        <w:rPr>
          <w:kern w:val="0"/>
          <w:szCs w:val="21"/>
        </w:rPr>
        <w:t>ISO在线浏览平台：可登录</w:t>
      </w:r>
      <w:r>
        <w:fldChar w:fldCharType="begin"/>
      </w:r>
      <w:r>
        <w:instrText xml:space="preserve"> HYPERLINK "http://www.iso.org/obp" </w:instrText>
      </w:r>
      <w:r>
        <w:fldChar w:fldCharType="separate"/>
      </w:r>
      <w:r>
        <w:rPr>
          <w:kern w:val="0"/>
          <w:szCs w:val="21"/>
        </w:rPr>
        <w:t>http://www.iso.org/obp查阅</w:t>
      </w:r>
      <w:r>
        <w:rPr>
          <w:kern w:val="0"/>
          <w:szCs w:val="21"/>
        </w:rPr>
        <w:fldChar w:fldCharType="end"/>
      </w:r>
    </w:p>
    <w:p>
      <w:pPr>
        <w:pStyle w:val="47"/>
      </w:pPr>
      <w:bookmarkStart w:id="13" w:name="bookmark2"/>
      <w:r>
        <w:t>3.2 缩略语</w:t>
      </w:r>
      <w:bookmarkEnd w:id="13"/>
    </w:p>
    <w:p>
      <w:pPr>
        <w:pStyle w:val="28"/>
        <w:rPr>
          <w:rFonts w:hint="eastAsia" w:ascii="Times New Roman"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下列缩略语适用于本文件</w:t>
      </w:r>
      <w:r>
        <w:rPr>
          <w:rFonts w:hint="eastAsia" w:ascii="Times New Roman" w:cs="Times New Roman"/>
          <w:kern w:val="0"/>
          <w:sz w:val="21"/>
          <w:szCs w:val="21"/>
          <w:lang w:val="en-US" w:eastAsia="zh-CN" w:bidi="ar-SA"/>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ABS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丙烯腈-丁二烯-苯乙烯共聚物</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Acrylonitrile butadiene styrene</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API-ES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大气压-电喷雾</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atmospheric pressure-electrospray</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BFR</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溴化阻燃剂</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brominated flame retardant</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BSA</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N,O-双（三甲基硅基）乙酰胺</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N.O-Bis(trimethylsilyl)acetamide</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BSTFA</w:t>
      </w:r>
      <w:r>
        <w:rPr>
          <w:rFonts w:hint="eastAsia" w:ascii="Times New Roman" w:cs="Times New Roman"/>
          <w:kern w:val="0"/>
          <w:sz w:val="21"/>
          <w:szCs w:val="21"/>
          <w:lang w:val="en-US" w:eastAsia="zh-CN" w:bidi="ar-SA"/>
        </w:rPr>
        <w:tab/>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N,O-双（三甲基硅基）三氟乙酰胺</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N.O-Bis(trimethylsilyl)trifluoroacetamide</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CCC</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校准曲线核查</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continuing calibration check</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C-IC</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燃烧-离子色谱仪</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combustion-ion chromatography</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El</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电子电离</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electron ionization</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EPS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发泡聚苯乙烯泡沫</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expanded polystyrene foam</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HBCDD</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六溴环十二烷</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hexabromocyclododecane</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HPLC-MS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ab/>
      </w:r>
      <w:r>
        <w:rPr>
          <w:rFonts w:hint="eastAsia" w:ascii="Times New Roman" w:cs="Times New Roman"/>
          <w:kern w:val="0"/>
          <w:sz w:val="21"/>
          <w:szCs w:val="21"/>
          <w:lang w:val="en-US" w:eastAsia="zh-CN" w:bidi="ar-SA"/>
        </w:rPr>
        <w:t>高效液相色谱-质谱仪</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high-pressure liquid chromatography-mass spectrometry</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ID</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内径</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internal diameter</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IS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内标</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internal standard</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GC-MS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气相色谱-质谱仪</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gas chromatography-mass spectrometry</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LOD</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检出限</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limit of detection</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LOQ</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定量限</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limit of quantification</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MDL</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方法检出限</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method detection limit</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PTFE</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聚四氟乙烯</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polytetrafluoroethylene</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QC</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质量控制</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quality control</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RSD：相对标准偏差</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relative standard deviation</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SIM：单（或“选择性”）离子检测single(or "selected")ion monitoring</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THF：四氢呋喃</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tetrahydrofuran</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TIC</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初步确定的化合物t</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entatively identified compound</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XPS</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挤塑聚苯乙烯泡沫</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extruded polystyrene foam</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XRF</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X射线荧光</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X-ray fluorescence</w:t>
      </w:r>
      <w:r>
        <w:rPr>
          <w:rFonts w:hint="default" w:ascii="Times New Roman" w:hAnsi="Times New Roman" w:cs="Times New Roman"/>
          <w:highlight w:val="none"/>
          <w:lang w:eastAsia="zh-CN"/>
        </w:rPr>
        <w:t>）</w:t>
      </w:r>
    </w:p>
    <w:p>
      <w:pPr>
        <w:pStyle w:val="28"/>
        <w:rPr>
          <w:rFonts w:hint="eastAsia" w:ascii="Times New Roman" w:cs="Times New Roman"/>
          <w:kern w:val="0"/>
          <w:sz w:val="21"/>
          <w:szCs w:val="21"/>
          <w:lang w:val="en-US" w:eastAsia="zh-CN" w:bidi="ar-SA"/>
        </w:rPr>
      </w:pPr>
      <w:r>
        <w:rPr>
          <w:rFonts w:hint="eastAsia" w:ascii="Times New Roman" w:cs="Times New Roman"/>
          <w:kern w:val="0"/>
          <w:sz w:val="21"/>
          <w:szCs w:val="21"/>
          <w:lang w:val="en-US" w:eastAsia="zh-CN" w:bidi="ar-SA"/>
        </w:rPr>
        <w:t>UV</w:t>
      </w:r>
      <w:r>
        <w:rPr>
          <w:rFonts w:hint="default" w:ascii="Times New Roman" w:hAnsi="Times New Roman" w:cs="Times New Roman"/>
          <w:szCs w:val="21"/>
          <w:lang w:eastAsia="zh-CN"/>
        </w:rPr>
        <w:t>：</w:t>
      </w:r>
      <w:r>
        <w:rPr>
          <w:rFonts w:hint="eastAsia" w:ascii="Times New Roman" w:cs="Times New Roman"/>
          <w:kern w:val="0"/>
          <w:sz w:val="21"/>
          <w:szCs w:val="21"/>
          <w:lang w:val="en-US" w:eastAsia="zh-CN" w:bidi="ar-SA"/>
        </w:rPr>
        <w:t>紫外线</w:t>
      </w:r>
      <w:r>
        <w:rPr>
          <w:rFonts w:hint="default" w:ascii="Times New Roman" w:hAnsi="Times New Roman" w:cs="Times New Roman"/>
          <w:szCs w:val="21"/>
          <w:highlight w:val="none"/>
          <w:lang w:eastAsia="zh-CN"/>
        </w:rPr>
        <w:t>（</w:t>
      </w:r>
      <w:r>
        <w:rPr>
          <w:rFonts w:hint="eastAsia" w:ascii="Times New Roman" w:cs="Times New Roman"/>
          <w:kern w:val="0"/>
          <w:sz w:val="21"/>
          <w:szCs w:val="21"/>
          <w:lang w:val="en-US" w:eastAsia="zh-CN" w:bidi="ar-SA"/>
        </w:rPr>
        <w:t>Ultraviolet</w:t>
      </w:r>
      <w:r>
        <w:rPr>
          <w:rFonts w:hint="default" w:ascii="Times New Roman" w:hAnsi="Times New Roman" w:cs="Times New Roman"/>
          <w:highlight w:val="none"/>
          <w:lang w:eastAsia="zh-CN"/>
        </w:rPr>
        <w:t>）</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4 原理</w:t>
      </w:r>
    </w:p>
    <w:p>
      <w:pPr>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采用超声或者索氏提取法对聚合物材料中六溴环十二烷进行提取，气相色谱-质谱法测定。该方法适用于六溴环十二烷总量的测定，不适用于六溴环十二烷</w:t>
      </w:r>
      <w:r>
        <w:rPr>
          <w:rFonts w:hint="eastAsia" w:asciiTheme="minorEastAsia" w:hAnsiTheme="minorEastAsia" w:eastAsiaTheme="minorEastAsia"/>
          <w:szCs w:val="21"/>
          <w:lang w:val="en-US" w:eastAsia="zh-CN"/>
        </w:rPr>
        <w:t>各</w:t>
      </w:r>
      <w:r>
        <w:rPr>
          <w:rFonts w:hint="eastAsia" w:asciiTheme="minorEastAsia" w:hAnsiTheme="minorEastAsia" w:eastAsiaTheme="minorEastAsia"/>
          <w:szCs w:val="21"/>
        </w:rPr>
        <w:t>同分异构体</w:t>
      </w:r>
      <w:r>
        <w:rPr>
          <w:rFonts w:hint="eastAsia" w:asciiTheme="minorEastAsia" w:hAnsiTheme="minorEastAsia" w:eastAsiaTheme="minorEastAsia"/>
          <w:szCs w:val="21"/>
          <w:lang w:val="en-US" w:eastAsia="zh-CN"/>
        </w:rPr>
        <w:t>含量</w:t>
      </w:r>
      <w:r>
        <w:rPr>
          <w:rFonts w:hint="eastAsia" w:asciiTheme="minorEastAsia" w:hAnsiTheme="minorEastAsia" w:eastAsiaTheme="minorEastAsia"/>
          <w:szCs w:val="21"/>
        </w:rPr>
        <w:t>的测定。</w:t>
      </w:r>
    </w:p>
    <w:p>
      <w:pPr>
        <w:ind w:firstLine="360" w:firstLineChars="200"/>
        <w:rPr>
          <w:kern w:val="0"/>
          <w:sz w:val="18"/>
          <w:szCs w:val="18"/>
        </w:rPr>
      </w:pPr>
      <w:r>
        <w:rPr>
          <w:rFonts w:hint="eastAsia" w:ascii="黑体" w:hAnsi="黑体" w:eastAsia="黑体" w:cs="黑体"/>
          <w:kern w:val="0"/>
          <w:sz w:val="18"/>
          <w:szCs w:val="18"/>
        </w:rPr>
        <w:t>注：</w:t>
      </w:r>
      <w:r>
        <w:rPr>
          <w:kern w:val="0"/>
          <w:sz w:val="18"/>
          <w:szCs w:val="18"/>
        </w:rPr>
        <w:t>六溴环十二烷的热稳定性很差</w:t>
      </w:r>
      <w:r>
        <w:rPr>
          <w:rFonts w:hint="eastAsia" w:asciiTheme="minorEastAsia" w:hAnsiTheme="minorEastAsia" w:eastAsiaTheme="minorEastAsia"/>
          <w:szCs w:val="21"/>
        </w:rPr>
        <w:t>，</w:t>
      </w:r>
      <w:r>
        <w:rPr>
          <w:kern w:val="0"/>
          <w:sz w:val="18"/>
          <w:szCs w:val="18"/>
        </w:rPr>
        <w:t>结果会受到温度测试条件的影响。</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5 试剂与材料</w:t>
      </w:r>
    </w:p>
    <w:p>
      <w:pPr>
        <w:ind w:firstLine="420" w:firstLineChars="200"/>
        <w:rPr>
          <w:kern w:val="0"/>
          <w:szCs w:val="21"/>
        </w:rPr>
      </w:pPr>
      <w:r>
        <w:rPr>
          <w:kern w:val="0"/>
          <w:szCs w:val="21"/>
        </w:rPr>
        <w:t>所有化学试剂在使用前应进行污染和空白值检测。</w:t>
      </w:r>
    </w:p>
    <w:p>
      <w:pPr>
        <w:ind w:firstLine="420" w:firstLineChars="200"/>
        <w:rPr>
          <w:kern w:val="0"/>
          <w:szCs w:val="21"/>
        </w:rPr>
      </w:pPr>
      <w:r>
        <w:rPr>
          <w:kern w:val="0"/>
          <w:szCs w:val="21"/>
        </w:rPr>
        <w:t>a）</w:t>
      </w:r>
      <w:r>
        <w:rPr>
          <w:kern w:val="0"/>
          <w:szCs w:val="21"/>
        </w:rPr>
        <w:tab/>
      </w:r>
      <w:r>
        <w:rPr>
          <w:kern w:val="0"/>
          <w:szCs w:val="21"/>
        </w:rPr>
        <w:t>甲苯（优级纯试剂，纯度大于99%</w:t>
      </w:r>
      <w:r>
        <w:rPr>
          <w:rFonts w:hint="eastAsia"/>
          <w:kern w:val="0"/>
          <w:szCs w:val="21"/>
          <w:lang w:val="en-US" w:eastAsia="zh-CN"/>
        </w:rPr>
        <w:t>,</w:t>
      </w:r>
      <w:r>
        <w:rPr>
          <w:kern w:val="0"/>
          <w:szCs w:val="21"/>
        </w:rPr>
        <w:t>体积分数）；</w:t>
      </w:r>
    </w:p>
    <w:p>
      <w:pPr>
        <w:ind w:firstLine="420" w:firstLineChars="200"/>
        <w:rPr>
          <w:kern w:val="0"/>
          <w:szCs w:val="21"/>
        </w:rPr>
      </w:pPr>
      <w:r>
        <w:rPr>
          <w:kern w:val="0"/>
          <w:szCs w:val="21"/>
        </w:rPr>
        <w:t>b）</w:t>
      </w:r>
      <w:r>
        <w:rPr>
          <w:kern w:val="0"/>
          <w:szCs w:val="21"/>
        </w:rPr>
        <w:tab/>
      </w:r>
      <w:r>
        <w:rPr>
          <w:kern w:val="0"/>
          <w:szCs w:val="21"/>
        </w:rPr>
        <w:t>四氢呋喃（THF）（优级纯试剂，纯度大于99%</w:t>
      </w:r>
      <w:r>
        <w:rPr>
          <w:rFonts w:hint="eastAsia"/>
          <w:kern w:val="0"/>
          <w:szCs w:val="21"/>
          <w:lang w:val="en-US" w:eastAsia="zh-CN"/>
        </w:rPr>
        <w:t>,</w:t>
      </w:r>
      <w:r>
        <w:rPr>
          <w:kern w:val="0"/>
          <w:szCs w:val="21"/>
        </w:rPr>
        <w:t>体积分数）；</w:t>
      </w:r>
    </w:p>
    <w:p>
      <w:pPr>
        <w:ind w:firstLine="420" w:firstLineChars="200"/>
        <w:rPr>
          <w:kern w:val="0"/>
          <w:szCs w:val="21"/>
        </w:rPr>
      </w:pPr>
      <w:r>
        <w:rPr>
          <w:kern w:val="0"/>
          <w:szCs w:val="21"/>
        </w:rPr>
        <w:t>c）</w:t>
      </w:r>
      <w:r>
        <w:rPr>
          <w:kern w:val="0"/>
          <w:szCs w:val="21"/>
        </w:rPr>
        <w:tab/>
      </w:r>
      <w:r>
        <w:rPr>
          <w:kern w:val="0"/>
          <w:szCs w:val="21"/>
        </w:rPr>
        <w:t>乙腈（优级纯试剂，纯度大于99%</w:t>
      </w:r>
      <w:r>
        <w:rPr>
          <w:rFonts w:hint="eastAsia"/>
          <w:kern w:val="0"/>
          <w:szCs w:val="21"/>
          <w:lang w:val="en-US" w:eastAsia="zh-CN"/>
        </w:rPr>
        <w:t>,</w:t>
      </w:r>
      <w:r>
        <w:rPr>
          <w:kern w:val="0"/>
          <w:szCs w:val="21"/>
        </w:rPr>
        <w:t>体积分数）；</w:t>
      </w:r>
    </w:p>
    <w:p>
      <w:pPr>
        <w:ind w:firstLine="420" w:firstLineChars="200"/>
        <w:rPr>
          <w:kern w:val="0"/>
          <w:szCs w:val="21"/>
        </w:rPr>
      </w:pPr>
      <w:r>
        <w:rPr>
          <w:kern w:val="0"/>
          <w:szCs w:val="21"/>
        </w:rPr>
        <w:t>d）</w:t>
      </w:r>
      <w:r>
        <w:rPr>
          <w:kern w:val="0"/>
          <w:szCs w:val="21"/>
        </w:rPr>
        <w:tab/>
      </w:r>
      <w:r>
        <w:rPr>
          <w:kern w:val="0"/>
          <w:szCs w:val="21"/>
        </w:rPr>
        <w:t>甲醇（优级纯试剂，纯度大于99%</w:t>
      </w:r>
      <w:r>
        <w:rPr>
          <w:rFonts w:hint="eastAsia"/>
          <w:kern w:val="0"/>
          <w:szCs w:val="21"/>
          <w:lang w:val="en-US" w:eastAsia="zh-CN"/>
        </w:rPr>
        <w:t>,</w:t>
      </w:r>
      <w:r>
        <w:rPr>
          <w:kern w:val="0"/>
          <w:szCs w:val="21"/>
        </w:rPr>
        <w:t>体积分数）；</w:t>
      </w:r>
    </w:p>
    <w:p>
      <w:pPr>
        <w:ind w:left="840" w:leftChars="200" w:hanging="420" w:hangingChars="200"/>
        <w:rPr>
          <w:kern w:val="0"/>
          <w:szCs w:val="21"/>
        </w:rPr>
      </w:pPr>
      <w:r>
        <w:rPr>
          <w:kern w:val="0"/>
          <w:szCs w:val="21"/>
        </w:rPr>
        <w:t>e）</w:t>
      </w:r>
      <w:r>
        <w:rPr>
          <w:kern w:val="0"/>
          <w:szCs w:val="21"/>
        </w:rPr>
        <w:tab/>
      </w:r>
      <w:r>
        <w:rPr>
          <w:kern w:val="0"/>
          <w:szCs w:val="21"/>
        </w:rPr>
        <w:t>混合溶剂（四氢呋喃和乙腈或甲醇）</w:t>
      </w:r>
      <w:r>
        <w:rPr>
          <w:rFonts w:hint="eastAsia"/>
          <w:kern w:val="0"/>
          <w:szCs w:val="21"/>
          <w:lang w:val="en-US" w:eastAsia="zh-CN"/>
        </w:rPr>
        <w:t>:</w:t>
      </w:r>
      <w:r>
        <w:rPr>
          <w:kern w:val="0"/>
          <w:szCs w:val="21"/>
        </w:rPr>
        <w:t>在2000</w:t>
      </w:r>
      <w:r>
        <w:rPr>
          <w:rFonts w:hint="eastAsia"/>
          <w:kern w:val="0"/>
          <w:szCs w:val="21"/>
          <w:lang w:eastAsia="zh-CN"/>
        </w:rPr>
        <w:t xml:space="preserve"> mL</w:t>
      </w:r>
      <w:r>
        <w:rPr>
          <w:kern w:val="0"/>
          <w:szCs w:val="21"/>
        </w:rPr>
        <w:t>烧杯中加入500</w:t>
      </w:r>
      <w:r>
        <w:rPr>
          <w:rFonts w:hint="eastAsia"/>
          <w:kern w:val="0"/>
          <w:szCs w:val="21"/>
          <w:lang w:eastAsia="zh-CN"/>
        </w:rPr>
        <w:t xml:space="preserve"> mL</w:t>
      </w:r>
      <w:r>
        <w:rPr>
          <w:kern w:val="0"/>
          <w:szCs w:val="21"/>
        </w:rPr>
        <w:t>四氢呋喃和1 000</w:t>
      </w:r>
      <w:r>
        <w:rPr>
          <w:rFonts w:hint="eastAsia"/>
          <w:kern w:val="0"/>
          <w:szCs w:val="21"/>
          <w:lang w:eastAsia="zh-CN"/>
        </w:rPr>
        <w:t>mL</w:t>
      </w:r>
      <w:r>
        <w:rPr>
          <w:kern w:val="0"/>
          <w:szCs w:val="21"/>
        </w:rPr>
        <w:t>乙腈或甲醇并混合；</w:t>
      </w:r>
    </w:p>
    <w:p>
      <w:pPr>
        <w:ind w:firstLine="420" w:firstLineChars="200"/>
        <w:rPr>
          <w:kern w:val="0"/>
          <w:szCs w:val="21"/>
          <w:highlight w:val="none"/>
        </w:rPr>
      </w:pPr>
      <w:r>
        <w:rPr>
          <w:kern w:val="0"/>
          <w:szCs w:val="21"/>
        </w:rPr>
        <w:t>f）</w:t>
      </w:r>
      <w:r>
        <w:rPr>
          <w:kern w:val="0"/>
          <w:szCs w:val="21"/>
        </w:rPr>
        <w:tab/>
      </w:r>
      <w:r>
        <w:rPr>
          <w:rFonts w:hint="eastAsia"/>
          <w:kern w:val="0"/>
          <w:szCs w:val="21"/>
          <w:lang w:val="en-US" w:eastAsia="zh-CN"/>
        </w:rPr>
        <w:t>标准储备溶液和标准溶液，使</w:t>
      </w:r>
      <w:r>
        <w:rPr>
          <w:rFonts w:hint="eastAsia"/>
          <w:kern w:val="0"/>
          <w:szCs w:val="21"/>
          <w:highlight w:val="none"/>
          <w:lang w:val="en-US" w:eastAsia="zh-CN"/>
        </w:rPr>
        <w:t>用</w:t>
      </w:r>
      <w:r>
        <w:rPr>
          <w:kern w:val="0"/>
          <w:szCs w:val="21"/>
          <w:highlight w:val="none"/>
        </w:rPr>
        <w:t>六溴环十二烷优级纯试剂</w:t>
      </w:r>
      <w:r>
        <w:rPr>
          <w:rFonts w:hint="eastAsia"/>
          <w:kern w:val="0"/>
          <w:szCs w:val="21"/>
          <w:highlight w:val="none"/>
          <w:lang w:eastAsia="zh-CN"/>
        </w:rPr>
        <w:t>（</w:t>
      </w:r>
      <w:r>
        <w:rPr>
          <w:kern w:val="0"/>
          <w:szCs w:val="21"/>
          <w:highlight w:val="none"/>
        </w:rPr>
        <w:t>纯度大于99%</w:t>
      </w:r>
      <w:r>
        <w:rPr>
          <w:rFonts w:hint="eastAsia"/>
          <w:kern w:val="0"/>
          <w:szCs w:val="21"/>
          <w:highlight w:val="none"/>
          <w:lang w:eastAsia="zh-CN"/>
        </w:rPr>
        <w:t>，</w:t>
      </w:r>
      <w:r>
        <w:rPr>
          <w:kern w:val="0"/>
          <w:szCs w:val="21"/>
          <w:highlight w:val="none"/>
        </w:rPr>
        <w:t>体积分数）</w:t>
      </w:r>
      <w:r>
        <w:rPr>
          <w:rFonts w:hint="eastAsia"/>
          <w:kern w:val="0"/>
          <w:szCs w:val="21"/>
          <w:highlight w:val="none"/>
          <w:lang w:val="en-US" w:eastAsia="zh-CN"/>
        </w:rPr>
        <w:t>或其它商用</w:t>
      </w:r>
      <w:r>
        <w:rPr>
          <w:kern w:val="0"/>
          <w:szCs w:val="21"/>
          <w:highlight w:val="none"/>
        </w:rPr>
        <w:t>六溴环十二烷</w:t>
      </w:r>
      <w:r>
        <w:rPr>
          <w:rFonts w:hint="eastAsia"/>
          <w:kern w:val="0"/>
          <w:szCs w:val="21"/>
          <w:highlight w:val="none"/>
          <w:lang w:val="en-US" w:eastAsia="zh-CN"/>
        </w:rPr>
        <w:t>有证标准物质进行配置</w:t>
      </w:r>
      <w:r>
        <w:rPr>
          <w:rFonts w:hint="eastAsia"/>
          <w:kern w:val="0"/>
          <w:szCs w:val="21"/>
          <w:highlight w:val="none"/>
          <w:lang w:eastAsia="zh-CN"/>
        </w:rPr>
        <w:t>，</w:t>
      </w:r>
      <w:r>
        <w:rPr>
          <w:rFonts w:hint="eastAsia"/>
          <w:kern w:val="0"/>
          <w:szCs w:val="21"/>
          <w:highlight w:val="none"/>
          <w:lang w:val="en-US" w:eastAsia="zh-CN"/>
        </w:rPr>
        <w:t>方法</w:t>
      </w:r>
      <w:r>
        <w:rPr>
          <w:kern w:val="0"/>
          <w:szCs w:val="21"/>
          <w:highlight w:val="none"/>
        </w:rPr>
        <w:t>见8.4</w:t>
      </w:r>
      <w:r>
        <w:rPr>
          <w:rFonts w:hint="eastAsia"/>
          <w:kern w:val="0"/>
          <w:szCs w:val="21"/>
          <w:highlight w:val="none"/>
          <w:lang w:val="en-US" w:eastAsia="zh-CN"/>
        </w:rPr>
        <w:t>和8.5.2</w:t>
      </w:r>
      <w:r>
        <w:rPr>
          <w:kern w:val="0"/>
          <w:szCs w:val="21"/>
          <w:highlight w:val="none"/>
        </w:rPr>
        <w:t>；</w:t>
      </w:r>
    </w:p>
    <w:p>
      <w:pPr>
        <w:ind w:firstLine="420" w:firstLineChars="200"/>
        <w:rPr>
          <w:kern w:val="0"/>
          <w:szCs w:val="21"/>
        </w:rPr>
      </w:pPr>
      <w:r>
        <w:rPr>
          <w:kern w:val="0"/>
          <w:szCs w:val="21"/>
        </w:rPr>
        <w:t>g）</w:t>
      </w:r>
      <w:r>
        <w:rPr>
          <w:kern w:val="0"/>
          <w:szCs w:val="21"/>
        </w:rPr>
        <w:tab/>
      </w:r>
      <w:r>
        <w:rPr>
          <w:kern w:val="0"/>
          <w:szCs w:val="21"/>
        </w:rPr>
        <w:t>氦</w:t>
      </w:r>
      <w:r>
        <w:rPr>
          <w:rFonts w:hint="eastAsia"/>
          <w:kern w:val="0"/>
          <w:szCs w:val="21"/>
          <w:lang w:val="en-US" w:eastAsia="zh-CN"/>
        </w:rPr>
        <w:t>气</w:t>
      </w:r>
      <w:r>
        <w:rPr>
          <w:kern w:val="0"/>
          <w:szCs w:val="21"/>
        </w:rPr>
        <w:t>（纯度大于99,999%</w:t>
      </w:r>
      <w:r>
        <w:rPr>
          <w:rFonts w:hint="eastAsia"/>
          <w:kern w:val="0"/>
          <w:szCs w:val="21"/>
          <w:lang w:val="en-US" w:eastAsia="zh-CN"/>
        </w:rPr>
        <w:t>,</w:t>
      </w:r>
      <w:r>
        <w:rPr>
          <w:kern w:val="0"/>
          <w:szCs w:val="21"/>
        </w:rPr>
        <w:t>体积分数）；</w:t>
      </w:r>
    </w:p>
    <w:p>
      <w:pPr>
        <w:ind w:firstLine="420" w:firstLineChars="200"/>
        <w:rPr>
          <w:kern w:val="0"/>
          <w:szCs w:val="21"/>
        </w:rPr>
      </w:pPr>
      <w:r>
        <w:rPr>
          <w:kern w:val="0"/>
          <w:szCs w:val="21"/>
        </w:rPr>
        <w:t>h）</w:t>
      </w:r>
      <w:r>
        <w:rPr>
          <w:kern w:val="0"/>
          <w:szCs w:val="21"/>
        </w:rPr>
        <w:tab/>
      </w:r>
      <w:r>
        <w:rPr>
          <w:kern w:val="0"/>
          <w:szCs w:val="21"/>
        </w:rPr>
        <w:t>内标</w:t>
      </w:r>
      <w:r>
        <w:rPr>
          <w:rFonts w:hint="eastAsia"/>
          <w:kern w:val="0"/>
          <w:szCs w:val="21"/>
          <w:lang w:val="en-US" w:eastAsia="zh-CN"/>
        </w:rPr>
        <w:t>物，</w:t>
      </w:r>
      <w:r>
        <w:rPr>
          <w:kern w:val="0"/>
          <w:szCs w:val="21"/>
        </w:rPr>
        <w:t>用于校正进样误差（例如CB 209（2,2',3,3',4,4',5,5',6,6'-十氯联苯））。</w:t>
      </w:r>
    </w:p>
    <w:p>
      <w:pPr>
        <w:widowControl/>
        <w:spacing w:before="312" w:beforeLines="100" w:after="312" w:afterLines="100"/>
        <w:outlineLvl w:val="0"/>
        <w:rPr>
          <w:rFonts w:hint="eastAsia" w:ascii="黑体" w:hAnsi="黑体" w:eastAsia="黑体"/>
          <w:kern w:val="0"/>
          <w:szCs w:val="20"/>
          <w:highlight w:val="none"/>
          <w:lang w:eastAsia="zh-CN"/>
        </w:rPr>
      </w:pPr>
      <w:r>
        <w:rPr>
          <w:rFonts w:ascii="黑体" w:hAnsi="黑体" w:eastAsia="黑体"/>
          <w:kern w:val="0"/>
          <w:szCs w:val="20"/>
          <w:highlight w:val="none"/>
        </w:rPr>
        <w:t xml:space="preserve">6 </w:t>
      </w:r>
      <w:r>
        <w:rPr>
          <w:rFonts w:hint="eastAsia" w:ascii="黑体" w:hAnsi="黑体" w:eastAsia="黑体"/>
          <w:kern w:val="0"/>
          <w:szCs w:val="20"/>
          <w:highlight w:val="none"/>
          <w:lang w:val="en-US" w:eastAsia="zh-CN"/>
        </w:rPr>
        <w:t>仪器设备</w:t>
      </w:r>
    </w:p>
    <w:p>
      <w:pPr>
        <w:ind w:left="851" w:leftChars="200" w:hanging="431"/>
        <w:rPr>
          <w:kern w:val="0"/>
          <w:szCs w:val="21"/>
        </w:rPr>
      </w:pPr>
      <w:r>
        <w:rPr>
          <w:kern w:val="0"/>
          <w:szCs w:val="21"/>
        </w:rPr>
        <w:t>使用以下</w:t>
      </w:r>
      <w:r>
        <w:rPr>
          <w:rFonts w:hint="eastAsia"/>
          <w:kern w:val="0"/>
          <w:szCs w:val="21"/>
          <w:lang w:val="en-US" w:eastAsia="zh-CN"/>
        </w:rPr>
        <w:t>仪器</w:t>
      </w:r>
      <w:r>
        <w:rPr>
          <w:kern w:val="0"/>
          <w:szCs w:val="21"/>
        </w:rPr>
        <w:t>进行分析：</w:t>
      </w:r>
    </w:p>
    <w:p>
      <w:pPr>
        <w:ind w:left="851" w:leftChars="200" w:hanging="431"/>
        <w:rPr>
          <w:color w:val="000000"/>
          <w:kern w:val="0"/>
          <w:szCs w:val="21"/>
          <w:lang w:bidi="en-US"/>
        </w:rPr>
      </w:pPr>
      <w:r>
        <w:rPr>
          <w:kern w:val="0"/>
          <w:szCs w:val="21"/>
        </w:rPr>
        <w:t>a）</w:t>
      </w:r>
      <w:r>
        <w:rPr>
          <w:kern w:val="0"/>
          <w:szCs w:val="21"/>
        </w:rPr>
        <w:tab/>
      </w:r>
      <w:r>
        <w:rPr>
          <w:color w:val="000000"/>
          <w:kern w:val="0"/>
          <w:szCs w:val="21"/>
          <w:lang w:bidi="en-US"/>
        </w:rPr>
        <w:t>分析天平，精确</w:t>
      </w:r>
      <w:r>
        <w:rPr>
          <w:rFonts w:hint="eastAsia"/>
          <w:color w:val="000000"/>
          <w:kern w:val="0"/>
          <w:szCs w:val="21"/>
          <w:lang w:val="en-US" w:eastAsia="zh-CN" w:bidi="en-US"/>
        </w:rPr>
        <w:t>至</w:t>
      </w:r>
      <w:r>
        <w:rPr>
          <w:color w:val="000000"/>
          <w:kern w:val="0"/>
          <w:szCs w:val="21"/>
          <w:lang w:bidi="en-US"/>
        </w:rPr>
        <w:t>0.000 1 g的；</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rFonts w:hint="eastAsia"/>
          <w:color w:val="000000"/>
          <w:kern w:val="0"/>
          <w:szCs w:val="21"/>
          <w:lang w:eastAsia="zh-CN" w:bidi="en-US"/>
        </w:rPr>
        <w:t>容量瓶</w:t>
      </w:r>
      <w:r>
        <w:rPr>
          <w:color w:val="000000"/>
          <w:kern w:val="0"/>
          <w:szCs w:val="21"/>
          <w:lang w:bidi="en-US"/>
        </w:rPr>
        <w:t>，</w:t>
      </w:r>
      <w:r>
        <w:rPr>
          <w:rFonts w:hint="eastAsia"/>
          <w:color w:val="000000"/>
          <w:kern w:val="0"/>
          <w:szCs w:val="21"/>
          <w:lang w:val="en-US" w:eastAsia="zh-CN" w:bidi="en-US"/>
        </w:rPr>
        <w:t>容量为</w:t>
      </w:r>
      <w:r>
        <w:rPr>
          <w:color w:val="000000"/>
          <w:kern w:val="0"/>
          <w:szCs w:val="21"/>
          <w:lang w:bidi="en-US"/>
        </w:rPr>
        <w:t>10</w:t>
      </w:r>
      <w:r>
        <w:rPr>
          <w:rFonts w:hint="eastAsia"/>
          <w:color w:val="000000"/>
          <w:kern w:val="0"/>
          <w:szCs w:val="21"/>
          <w:lang w:eastAsia="zh-CN" w:bidi="en-US"/>
        </w:rPr>
        <w:t xml:space="preserve"> mL</w:t>
      </w:r>
      <w:r>
        <w:rPr>
          <w:color w:val="000000"/>
          <w:kern w:val="0"/>
          <w:szCs w:val="21"/>
          <w:lang w:bidi="en-US"/>
        </w:rPr>
        <w:t>、20</w:t>
      </w:r>
      <w:r>
        <w:rPr>
          <w:rFonts w:hint="eastAsia"/>
          <w:color w:val="000000"/>
          <w:kern w:val="0"/>
          <w:szCs w:val="21"/>
          <w:lang w:eastAsia="zh-CN" w:bidi="en-US"/>
        </w:rPr>
        <w:t xml:space="preserve"> mL</w:t>
      </w:r>
      <w:r>
        <w:rPr>
          <w:color w:val="000000"/>
          <w:kern w:val="0"/>
          <w:szCs w:val="21"/>
          <w:lang w:bidi="en-US"/>
        </w:rPr>
        <w:t>、500</w:t>
      </w:r>
      <w:r>
        <w:rPr>
          <w:rFonts w:hint="eastAsia"/>
          <w:color w:val="000000"/>
          <w:kern w:val="0"/>
          <w:szCs w:val="21"/>
          <w:lang w:eastAsia="zh-CN" w:bidi="en-US"/>
        </w:rPr>
        <w:t xml:space="preserve"> mL</w:t>
      </w:r>
      <w:r>
        <w:rPr>
          <w:rFonts w:hint="eastAsia"/>
          <w:color w:val="000000"/>
          <w:kern w:val="0"/>
          <w:szCs w:val="21"/>
          <w:lang w:val="en-US" w:eastAsia="zh-CN" w:bidi="en-US"/>
        </w:rPr>
        <w:t>和</w:t>
      </w:r>
      <w:r>
        <w:rPr>
          <w:color w:val="000000"/>
          <w:kern w:val="0"/>
          <w:szCs w:val="21"/>
          <w:lang w:bidi="en-US"/>
        </w:rPr>
        <w:t>1 000</w:t>
      </w:r>
      <w:r>
        <w:rPr>
          <w:rFonts w:hint="eastAsia"/>
          <w:color w:val="000000"/>
          <w:kern w:val="0"/>
          <w:szCs w:val="21"/>
          <w:lang w:eastAsia="zh-CN" w:bidi="en-US"/>
        </w:rPr>
        <w:t xml:space="preserve"> mL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索氏装置，200</w:t>
      </w:r>
      <w:r>
        <w:rPr>
          <w:rFonts w:hint="eastAsia"/>
          <w:color w:val="000000"/>
          <w:kern w:val="0"/>
          <w:szCs w:val="21"/>
          <w:lang w:eastAsia="zh-CN" w:bidi="en-US"/>
        </w:rPr>
        <w:t xml:space="preserve"> mL</w:t>
      </w:r>
      <w:r>
        <w:rPr>
          <w:color w:val="000000"/>
          <w:kern w:val="0"/>
          <w:szCs w:val="21"/>
          <w:lang w:bidi="en-US"/>
        </w:rPr>
        <w:t>或容积适当的索氏提取器；</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提取套管；</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加热套；</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漏斗（非塑料）；</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color w:val="000000"/>
          <w:kern w:val="0"/>
          <w:szCs w:val="21"/>
          <w:lang w:bidi="en-US"/>
        </w:rPr>
        <w:t>铝箔；</w:t>
      </w:r>
    </w:p>
    <w:p>
      <w:pPr>
        <w:ind w:left="851" w:leftChars="200" w:hanging="431"/>
        <w:rPr>
          <w:color w:val="000000"/>
          <w:kern w:val="0"/>
          <w:szCs w:val="21"/>
          <w:lang w:bidi="en-US"/>
        </w:rPr>
      </w:pPr>
      <w:r>
        <w:rPr>
          <w:color w:val="000000"/>
          <w:kern w:val="0"/>
          <w:szCs w:val="21"/>
          <w:lang w:bidi="en-US"/>
        </w:rPr>
        <w:t>h）</w:t>
      </w:r>
      <w:r>
        <w:rPr>
          <w:color w:val="000000"/>
          <w:kern w:val="0"/>
          <w:szCs w:val="21"/>
          <w:lang w:bidi="en-US"/>
        </w:rPr>
        <w:tab/>
      </w:r>
      <w:r>
        <w:rPr>
          <w:color w:val="000000"/>
          <w:kern w:val="0"/>
          <w:szCs w:val="21"/>
          <w:lang w:bidi="en-US"/>
        </w:rPr>
        <w:t>超声波清洗器；</w:t>
      </w:r>
    </w:p>
    <w:p>
      <w:pPr>
        <w:ind w:left="851" w:leftChars="200" w:hanging="431"/>
        <w:rPr>
          <w:color w:val="000000"/>
          <w:kern w:val="0"/>
          <w:szCs w:val="21"/>
          <w:lang w:bidi="en-US"/>
        </w:rPr>
      </w:pPr>
      <w:r>
        <w:rPr>
          <w:color w:val="000000"/>
          <w:kern w:val="0"/>
          <w:szCs w:val="21"/>
          <w:lang w:bidi="en-US"/>
        </w:rPr>
        <w:t>i）</w:t>
      </w:r>
      <w:r>
        <w:rPr>
          <w:color w:val="000000"/>
          <w:kern w:val="0"/>
          <w:szCs w:val="21"/>
          <w:lang w:bidi="en-US"/>
        </w:rPr>
        <w:tab/>
      </w:r>
      <w:r>
        <w:rPr>
          <w:color w:val="000000"/>
          <w:kern w:val="0"/>
          <w:szCs w:val="21"/>
          <w:lang w:bidi="en-US"/>
        </w:rPr>
        <w:t>巴斯德吸管；</w:t>
      </w:r>
    </w:p>
    <w:p>
      <w:pPr>
        <w:ind w:left="851" w:leftChars="200" w:hanging="431"/>
        <w:rPr>
          <w:color w:val="000000"/>
          <w:kern w:val="0"/>
          <w:szCs w:val="21"/>
          <w:lang w:bidi="en-US"/>
        </w:rPr>
      </w:pPr>
      <w:r>
        <w:rPr>
          <w:color w:val="000000"/>
          <w:kern w:val="0"/>
          <w:szCs w:val="21"/>
          <w:lang w:bidi="en-US"/>
        </w:rPr>
        <w:t>j）</w:t>
      </w:r>
      <w:r>
        <w:rPr>
          <w:color w:val="000000"/>
          <w:kern w:val="0"/>
          <w:szCs w:val="21"/>
          <w:lang w:bidi="en-US"/>
        </w:rPr>
        <w:tab/>
      </w:r>
      <w:r>
        <w:rPr>
          <w:color w:val="000000"/>
          <w:kern w:val="0"/>
          <w:szCs w:val="21"/>
          <w:lang w:bidi="en-US"/>
        </w:rPr>
        <w:t>玻璃棉；</w:t>
      </w:r>
    </w:p>
    <w:p>
      <w:pPr>
        <w:ind w:left="851" w:leftChars="200" w:hanging="431"/>
        <w:rPr>
          <w:color w:val="000000"/>
          <w:kern w:val="0"/>
          <w:szCs w:val="21"/>
          <w:lang w:bidi="en-US"/>
        </w:rPr>
      </w:pPr>
      <w:r>
        <w:rPr>
          <w:color w:val="000000"/>
          <w:kern w:val="0"/>
          <w:szCs w:val="21"/>
          <w:lang w:bidi="en-US"/>
        </w:rPr>
        <w:t>k）</w:t>
      </w:r>
      <w:r>
        <w:rPr>
          <w:color w:val="000000"/>
          <w:kern w:val="0"/>
          <w:szCs w:val="21"/>
          <w:lang w:bidi="en-US"/>
        </w:rPr>
        <w:tab/>
      </w:r>
      <w:r>
        <w:rPr>
          <w:color w:val="000000"/>
          <w:kern w:val="0"/>
          <w:szCs w:val="21"/>
          <w:lang w:bidi="en-US"/>
        </w:rPr>
        <w:t>1.5</w:t>
      </w:r>
      <w:r>
        <w:rPr>
          <w:rFonts w:hint="eastAsia"/>
          <w:color w:val="000000"/>
          <w:kern w:val="0"/>
          <w:szCs w:val="21"/>
          <w:lang w:eastAsia="zh-CN" w:bidi="en-US"/>
        </w:rPr>
        <w:t xml:space="preserve"> mL</w:t>
      </w:r>
      <w:r>
        <w:rPr>
          <w:color w:val="000000"/>
          <w:kern w:val="0"/>
          <w:szCs w:val="21"/>
          <w:lang w:bidi="en-US"/>
        </w:rPr>
        <w:t>样品瓶，配100</w:t>
      </w:r>
      <w:r>
        <w:rPr>
          <w:rFonts w:hint="eastAsia"/>
          <w:color w:val="000000"/>
          <w:kern w:val="0"/>
          <w:szCs w:val="21"/>
          <w:lang w:val="en-US" w:eastAsia="zh-CN" w:bidi="en-US"/>
        </w:rPr>
        <w:t xml:space="preserve"> </w:t>
      </w:r>
      <w:r>
        <w:rPr>
          <w:color w:val="000000"/>
          <w:kern w:val="0"/>
          <w:szCs w:val="21"/>
          <w:lang w:bidi="en-US"/>
        </w:rPr>
        <w:t>μ</w:t>
      </w:r>
      <w:r>
        <w:rPr>
          <w:rFonts w:hint="eastAsia"/>
          <w:color w:val="000000"/>
          <w:kern w:val="0"/>
          <w:szCs w:val="21"/>
          <w:lang w:eastAsia="zh-CN" w:bidi="en-US"/>
        </w:rPr>
        <w:t>L</w:t>
      </w:r>
      <w:r>
        <w:rPr>
          <w:color w:val="000000"/>
          <w:kern w:val="0"/>
          <w:szCs w:val="21"/>
          <w:lang w:bidi="en-US"/>
        </w:rPr>
        <w:t>玻璃</w:t>
      </w:r>
      <w:r>
        <w:rPr>
          <w:rFonts w:hint="eastAsia"/>
          <w:color w:val="000000"/>
          <w:kern w:val="0"/>
          <w:szCs w:val="21"/>
          <w:lang w:bidi="en-US"/>
        </w:rPr>
        <w:t>内</w:t>
      </w:r>
      <w:r>
        <w:rPr>
          <w:rFonts w:hint="eastAsia"/>
          <w:color w:val="000000"/>
          <w:kern w:val="0"/>
          <w:szCs w:val="21"/>
          <w:lang w:val="en-US" w:eastAsia="zh-CN" w:bidi="en-US"/>
        </w:rPr>
        <w:t>衬</w:t>
      </w:r>
      <w:r>
        <w:rPr>
          <w:rFonts w:hint="eastAsia"/>
          <w:color w:val="000000"/>
          <w:kern w:val="0"/>
          <w:szCs w:val="21"/>
          <w:lang w:bidi="en-US"/>
        </w:rPr>
        <w:t>管</w:t>
      </w:r>
      <w:r>
        <w:rPr>
          <w:color w:val="000000"/>
          <w:kern w:val="0"/>
          <w:szCs w:val="21"/>
          <w:lang w:bidi="en-US"/>
        </w:rPr>
        <w:t>和带聚四氟乙烯（PTFE）垫圈的旋盖，或根据分析系统配类似样品容器；</w:t>
      </w:r>
    </w:p>
    <w:p>
      <w:pPr>
        <w:ind w:left="851" w:leftChars="200" w:hanging="431"/>
        <w:rPr>
          <w:color w:val="000000"/>
          <w:kern w:val="0"/>
          <w:szCs w:val="21"/>
          <w:lang w:bidi="en-US"/>
        </w:rPr>
      </w:pPr>
      <w:r>
        <w:rPr>
          <w:color w:val="000000"/>
          <w:kern w:val="0"/>
          <w:szCs w:val="21"/>
          <w:lang w:bidi="en-US"/>
        </w:rPr>
        <w:t>l）</w:t>
      </w:r>
      <w:r>
        <w:rPr>
          <w:color w:val="000000"/>
          <w:kern w:val="0"/>
          <w:szCs w:val="21"/>
          <w:lang w:bidi="en-US"/>
        </w:rPr>
        <w:tab/>
      </w:r>
      <w:r>
        <w:rPr>
          <w:color w:val="000000"/>
          <w:kern w:val="0"/>
          <w:szCs w:val="21"/>
          <w:lang w:bidi="en-US"/>
        </w:rPr>
        <w:t>气相色谱仪，配毛细管柱</w:t>
      </w:r>
      <w:r>
        <w:rPr>
          <w:rFonts w:hint="eastAsia"/>
          <w:color w:val="000000"/>
          <w:kern w:val="0"/>
          <w:szCs w:val="21"/>
          <w:lang w:val="en-US" w:eastAsia="zh-CN" w:bidi="en-US"/>
        </w:rPr>
        <w:t>和</w:t>
      </w:r>
      <w:r>
        <w:rPr>
          <w:color w:val="000000"/>
          <w:kern w:val="0"/>
          <w:szCs w:val="21"/>
          <w:lang w:bidi="en-US"/>
        </w:rPr>
        <w:t>质谱检测器（电子</w:t>
      </w:r>
      <w:r>
        <w:rPr>
          <w:rFonts w:hint="eastAsia"/>
          <w:color w:val="000000"/>
          <w:kern w:val="0"/>
          <w:szCs w:val="21"/>
          <w:lang w:val="en-US" w:eastAsia="zh-CN" w:bidi="en-US"/>
        </w:rPr>
        <w:t>轰击</w:t>
      </w:r>
      <w:r>
        <w:rPr>
          <w:color w:val="000000"/>
          <w:kern w:val="0"/>
          <w:szCs w:val="21"/>
          <w:lang w:bidi="en-US"/>
        </w:rPr>
        <w:t>电离，El）。质谱检测器能</w:t>
      </w:r>
      <w:r>
        <w:rPr>
          <w:rFonts w:hint="eastAsia"/>
          <w:color w:val="000000"/>
          <w:kern w:val="0"/>
          <w:szCs w:val="21"/>
          <w:lang w:val="en-US" w:eastAsia="zh-CN" w:bidi="en-US"/>
        </w:rPr>
        <w:t>进行</w:t>
      </w:r>
      <w:r>
        <w:rPr>
          <w:color w:val="000000"/>
          <w:kern w:val="0"/>
          <w:szCs w:val="21"/>
          <w:lang w:bidi="en-US"/>
        </w:rPr>
        <w:t>选择性离子检测，</w:t>
      </w:r>
      <w:r>
        <w:rPr>
          <w:rFonts w:hint="eastAsia"/>
          <w:color w:val="000000"/>
          <w:kern w:val="0"/>
          <w:szCs w:val="21"/>
          <w:lang w:val="en-US" w:eastAsia="zh-CN" w:bidi="en-US"/>
        </w:rPr>
        <w:t>宜</w:t>
      </w:r>
      <w:r>
        <w:rPr>
          <w:color w:val="000000"/>
          <w:kern w:val="0"/>
          <w:szCs w:val="21"/>
          <w:lang w:bidi="en-US"/>
        </w:rPr>
        <w:t>使用自动取样器以确保重复性。30 m左右</w:t>
      </w:r>
      <w:r>
        <w:rPr>
          <w:rFonts w:hint="eastAsia"/>
          <w:color w:val="000000"/>
          <w:kern w:val="0"/>
          <w:szCs w:val="21"/>
          <w:lang w:val="en-US" w:eastAsia="zh-CN" w:bidi="en-US"/>
        </w:rPr>
        <w:t>长度</w:t>
      </w:r>
      <w:r>
        <w:rPr>
          <w:color w:val="000000"/>
          <w:kern w:val="0"/>
          <w:szCs w:val="21"/>
          <w:lang w:bidi="en-US"/>
        </w:rPr>
        <w:t>的</w:t>
      </w:r>
      <w:r>
        <w:rPr>
          <w:rFonts w:hint="eastAsia"/>
          <w:color w:val="000000"/>
          <w:kern w:val="0"/>
          <w:szCs w:val="21"/>
          <w:lang w:val="en-US" w:eastAsia="zh-CN" w:bidi="en-US"/>
        </w:rPr>
        <w:t>毛细</w:t>
      </w:r>
      <w:r>
        <w:rPr>
          <w:color w:val="000000"/>
          <w:kern w:val="0"/>
          <w:szCs w:val="21"/>
          <w:lang w:bidi="en-US"/>
        </w:rPr>
        <w:t>管柱满足HBCDD的充分分离；</w:t>
      </w:r>
    </w:p>
    <w:p>
      <w:pPr>
        <w:ind w:left="851" w:leftChars="200" w:hanging="431"/>
        <w:rPr>
          <w:color w:val="000000"/>
          <w:kern w:val="0"/>
          <w:szCs w:val="21"/>
          <w:lang w:bidi="en-US"/>
        </w:rPr>
      </w:pPr>
      <w:r>
        <w:rPr>
          <w:color w:val="000000"/>
          <w:kern w:val="0"/>
          <w:szCs w:val="21"/>
          <w:lang w:bidi="en-US"/>
        </w:rPr>
        <w:t>m）</w:t>
      </w:r>
      <w:r>
        <w:rPr>
          <w:color w:val="000000"/>
          <w:kern w:val="0"/>
          <w:szCs w:val="21"/>
          <w:lang w:bidi="en-US"/>
        </w:rPr>
        <w:tab/>
      </w:r>
      <w:r>
        <w:rPr>
          <w:color w:val="000000"/>
          <w:kern w:val="0"/>
          <w:szCs w:val="21"/>
          <w:lang w:bidi="en-US"/>
        </w:rPr>
        <w:t>旋转蒸发器，配水浴槽；</w:t>
      </w:r>
    </w:p>
    <w:p>
      <w:pPr>
        <w:ind w:left="851" w:leftChars="200" w:hanging="431"/>
        <w:rPr>
          <w:color w:val="000000"/>
          <w:kern w:val="0"/>
          <w:szCs w:val="21"/>
          <w:highlight w:val="none"/>
          <w:lang w:bidi="en-US"/>
        </w:rPr>
      </w:pPr>
      <w:r>
        <w:rPr>
          <w:color w:val="000000"/>
          <w:kern w:val="0"/>
          <w:szCs w:val="21"/>
          <w:highlight w:val="none"/>
          <w:lang w:bidi="en-US"/>
        </w:rPr>
        <w:t>n）</w:t>
      </w:r>
      <w:r>
        <w:rPr>
          <w:color w:val="000000"/>
          <w:kern w:val="0"/>
          <w:szCs w:val="21"/>
          <w:highlight w:val="none"/>
          <w:lang w:bidi="en-US"/>
        </w:rPr>
        <w:tab/>
      </w:r>
      <w:r>
        <w:rPr>
          <w:rFonts w:hint="eastAsia"/>
          <w:color w:val="000000"/>
          <w:kern w:val="0"/>
          <w:szCs w:val="21"/>
          <w:highlight w:val="none"/>
          <w:lang w:val="en-US" w:eastAsia="zh-CN" w:bidi="en-US"/>
        </w:rPr>
        <w:t>研磨</w:t>
      </w:r>
      <w:r>
        <w:rPr>
          <w:color w:val="000000"/>
          <w:kern w:val="0"/>
          <w:szCs w:val="21"/>
          <w:highlight w:val="none"/>
          <w:lang w:bidi="en-US"/>
        </w:rPr>
        <w:t>设备；</w:t>
      </w:r>
    </w:p>
    <w:p>
      <w:pPr>
        <w:ind w:left="851" w:leftChars="200" w:hanging="431"/>
        <w:rPr>
          <w:color w:val="000000"/>
          <w:kern w:val="0"/>
          <w:szCs w:val="21"/>
          <w:lang w:bidi="en-US"/>
        </w:rPr>
      </w:pPr>
      <w:r>
        <w:rPr>
          <w:color w:val="000000"/>
          <w:kern w:val="0"/>
          <w:szCs w:val="21"/>
          <w:lang w:bidi="en-US"/>
        </w:rPr>
        <w:t>o）</w:t>
      </w:r>
      <w:r>
        <w:rPr>
          <w:color w:val="000000"/>
          <w:kern w:val="0"/>
          <w:szCs w:val="21"/>
          <w:highlight w:val="none"/>
          <w:lang w:bidi="en-US"/>
        </w:rPr>
        <w:tab/>
      </w:r>
      <w:r>
        <w:rPr>
          <w:color w:val="000000"/>
          <w:kern w:val="0"/>
          <w:szCs w:val="21"/>
          <w:lang w:bidi="en-US"/>
        </w:rPr>
        <w:t>过滤膜</w:t>
      </w:r>
      <w:r>
        <w:rPr>
          <w:rFonts w:hint="eastAsia"/>
          <w:color w:val="000000"/>
          <w:kern w:val="0"/>
          <w:szCs w:val="21"/>
          <w:lang w:eastAsia="zh-CN" w:bidi="en-US"/>
        </w:rPr>
        <w:t>，</w:t>
      </w:r>
      <w:r>
        <w:rPr>
          <w:color w:val="000000"/>
          <w:kern w:val="0"/>
          <w:szCs w:val="21"/>
          <w:lang w:bidi="en-US"/>
        </w:rPr>
        <w:t>PTFE</w:t>
      </w:r>
      <w:r>
        <w:rPr>
          <w:rFonts w:hint="eastAsia"/>
          <w:color w:val="000000"/>
          <w:kern w:val="0"/>
          <w:szCs w:val="21"/>
          <w:lang w:val="en-US" w:eastAsia="zh-CN" w:bidi="en-US"/>
        </w:rPr>
        <w:t>材质，滤膜孔径</w:t>
      </w:r>
      <w:r>
        <w:rPr>
          <w:color w:val="000000"/>
          <w:kern w:val="0"/>
          <w:szCs w:val="21"/>
          <w:highlight w:val="none"/>
          <w:lang w:bidi="en-US"/>
        </w:rPr>
        <w:t>0.45</w:t>
      </w:r>
      <w:r>
        <w:rPr>
          <w:rFonts w:hint="eastAsia"/>
          <w:color w:val="000000"/>
          <w:kern w:val="0"/>
          <w:szCs w:val="21"/>
          <w:highlight w:val="none"/>
          <w:lang w:val="en-US" w:eastAsia="zh-CN" w:bidi="en-US"/>
        </w:rPr>
        <w:t xml:space="preserve"> </w:t>
      </w:r>
      <w:r>
        <w:rPr>
          <w:color w:val="000000"/>
          <w:kern w:val="0"/>
          <w:szCs w:val="21"/>
          <w:highlight w:val="none"/>
          <w:lang w:bidi="en-US"/>
        </w:rPr>
        <w:t>μ</w:t>
      </w:r>
      <w:r>
        <w:rPr>
          <w:rFonts w:hint="eastAsia"/>
          <w:color w:val="000000"/>
          <w:kern w:val="0"/>
          <w:szCs w:val="21"/>
          <w:highlight w:val="none"/>
          <w:lang w:val="en-US" w:eastAsia="zh-CN" w:bidi="en-US"/>
        </w:rPr>
        <w:t>m</w:t>
      </w:r>
      <w:r>
        <w:rPr>
          <w:rFonts w:hint="eastAsia"/>
          <w:color w:val="000000"/>
          <w:kern w:val="0"/>
          <w:szCs w:val="21"/>
          <w:lang w:val="en-US" w:eastAsia="zh-CN" w:bidi="en-US"/>
        </w:rPr>
        <w:t xml:space="preserve"> </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p）</w:t>
      </w:r>
      <w:r>
        <w:rPr>
          <w:color w:val="000000"/>
          <w:kern w:val="0"/>
          <w:szCs w:val="21"/>
          <w:lang w:bidi="en-US"/>
        </w:rPr>
        <w:tab/>
      </w:r>
      <w:r>
        <w:rPr>
          <w:color w:val="000000"/>
          <w:kern w:val="0"/>
          <w:szCs w:val="21"/>
          <w:lang w:bidi="en-US"/>
        </w:rPr>
        <w:t>滤纸</w:t>
      </w:r>
      <w:r>
        <w:rPr>
          <w:rFonts w:hint="eastAsia"/>
          <w:color w:val="000000"/>
          <w:kern w:val="0"/>
          <w:szCs w:val="21"/>
          <w:lang w:eastAsia="zh-CN" w:bidi="en-US"/>
        </w:rPr>
        <w:t>，</w:t>
      </w:r>
      <w:r>
        <w:rPr>
          <w:color w:val="000000"/>
          <w:kern w:val="0"/>
          <w:szCs w:val="21"/>
          <w:lang w:bidi="en-US"/>
        </w:rPr>
        <w:t>5A号。</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 xml:space="preserve">7 </w:t>
      </w:r>
      <w:r>
        <w:rPr>
          <w:rFonts w:hint="eastAsia" w:ascii="黑体" w:hAnsi="黑体" w:eastAsia="黑体"/>
          <w:kern w:val="0"/>
          <w:szCs w:val="20"/>
          <w:lang w:val="en-US" w:eastAsia="zh-CN"/>
        </w:rPr>
        <w:t>制</w:t>
      </w:r>
      <w:r>
        <w:rPr>
          <w:rFonts w:ascii="黑体" w:hAnsi="黑体" w:eastAsia="黑体"/>
          <w:kern w:val="0"/>
          <w:szCs w:val="20"/>
        </w:rPr>
        <w:t>样</w:t>
      </w:r>
    </w:p>
    <w:p>
      <w:pPr>
        <w:ind w:firstLine="420" w:firstLineChars="200"/>
        <w:rPr>
          <w:kern w:val="0"/>
          <w:szCs w:val="21"/>
        </w:rPr>
      </w:pPr>
      <w:r>
        <w:rPr>
          <w:kern w:val="0"/>
          <w:szCs w:val="21"/>
        </w:rPr>
        <w:t>除非另有说明，</w:t>
      </w:r>
      <w:r>
        <w:rPr>
          <w:rFonts w:hint="eastAsia"/>
          <w:kern w:val="0"/>
          <w:szCs w:val="21"/>
          <w:lang w:val="en-US" w:eastAsia="zh-CN"/>
        </w:rPr>
        <w:t>否则应</w:t>
      </w:r>
      <w:r>
        <w:rPr>
          <w:rFonts w:hint="eastAsia"/>
          <w:kern w:val="0"/>
          <w:szCs w:val="21"/>
          <w:highlight w:val="none"/>
          <w:lang w:val="en-US" w:eastAsia="zh-CN"/>
        </w:rPr>
        <w:t>按</w:t>
      </w:r>
      <w:r>
        <w:rPr>
          <w:rFonts w:hint="eastAsia"/>
          <w:szCs w:val="21"/>
          <w:highlight w:val="none"/>
          <w:lang w:val="en-US" w:eastAsia="zh-CN"/>
        </w:rPr>
        <w:t>GB/T 39560.2</w:t>
      </w:r>
      <w:r>
        <w:rPr>
          <w:kern w:val="0"/>
          <w:szCs w:val="21"/>
          <w:highlight w:val="none"/>
        </w:rPr>
        <w:t>所</w:t>
      </w:r>
      <w:r>
        <w:rPr>
          <w:kern w:val="0"/>
          <w:szCs w:val="21"/>
        </w:rPr>
        <w:t>述，</w:t>
      </w:r>
      <w:r>
        <w:rPr>
          <w:rFonts w:hint="eastAsia"/>
          <w:kern w:val="0"/>
          <w:szCs w:val="21"/>
          <w:lang w:val="en-US" w:eastAsia="zh-CN"/>
        </w:rPr>
        <w:t>执行以下程序：</w:t>
      </w:r>
    </w:p>
    <w:p>
      <w:pPr>
        <w:numPr>
          <w:ilvl w:val="0"/>
          <w:numId w:val="18"/>
        </w:numPr>
        <w:ind w:left="851" w:leftChars="200" w:hanging="431"/>
        <w:rPr>
          <w:color w:val="000000"/>
          <w:kern w:val="0"/>
          <w:szCs w:val="21"/>
          <w:lang w:bidi="en-US"/>
        </w:rPr>
      </w:pPr>
      <w:r>
        <w:rPr>
          <w:color w:val="000000"/>
          <w:kern w:val="0"/>
          <w:szCs w:val="21"/>
          <w:lang w:bidi="en-US"/>
        </w:rPr>
        <w:t>将样品</w:t>
      </w:r>
      <w:r>
        <w:rPr>
          <w:rFonts w:hint="eastAsia"/>
          <w:color w:val="000000"/>
          <w:kern w:val="0"/>
          <w:szCs w:val="21"/>
          <w:lang w:bidi="en-US"/>
        </w:rPr>
        <w:t>破碎</w:t>
      </w:r>
      <w:r>
        <w:rPr>
          <w:color w:val="000000"/>
          <w:kern w:val="0"/>
          <w:szCs w:val="21"/>
          <w:lang w:bidi="en-US"/>
        </w:rPr>
        <w:t>成大约2</w:t>
      </w:r>
      <w:r>
        <w:rPr>
          <w:rFonts w:hint="eastAsia"/>
          <w:color w:val="000000"/>
          <w:kern w:val="0"/>
          <w:szCs w:val="21"/>
          <w:lang w:val="en-US" w:eastAsia="zh-CN" w:bidi="en-US"/>
        </w:rPr>
        <w:t xml:space="preserve"> </w:t>
      </w:r>
      <w:r>
        <w:rPr>
          <w:color w:val="000000"/>
          <w:kern w:val="0"/>
          <w:szCs w:val="21"/>
          <w:lang w:bidi="en-US"/>
        </w:rPr>
        <w:t>mm x 2</w:t>
      </w:r>
      <w:r>
        <w:rPr>
          <w:rFonts w:hint="eastAsia"/>
          <w:color w:val="000000"/>
          <w:kern w:val="0"/>
          <w:szCs w:val="21"/>
          <w:lang w:val="en-US" w:eastAsia="zh-CN" w:bidi="en-US"/>
        </w:rPr>
        <w:t xml:space="preserve"> </w:t>
      </w:r>
      <w:r>
        <w:rPr>
          <w:color w:val="000000"/>
          <w:kern w:val="0"/>
          <w:szCs w:val="21"/>
          <w:lang w:bidi="en-US"/>
        </w:rPr>
        <w:t>mm的大小，然后充分混合。</w:t>
      </w:r>
    </w:p>
    <w:p>
      <w:pPr>
        <w:numPr>
          <w:ilvl w:val="0"/>
          <w:numId w:val="18"/>
        </w:numPr>
        <w:ind w:left="851" w:leftChars="200" w:hanging="431"/>
        <w:rPr>
          <w:color w:val="000000"/>
          <w:kern w:val="0"/>
          <w:szCs w:val="21"/>
          <w:lang w:bidi="en-US"/>
        </w:rPr>
      </w:pPr>
      <w:r>
        <w:rPr>
          <w:rFonts w:hint="eastAsia"/>
          <w:color w:val="000000"/>
          <w:kern w:val="0"/>
          <w:szCs w:val="21"/>
          <w:lang w:bidi="en-US"/>
        </w:rPr>
        <w:t>对难以溶解的聚合物执行替代性超声溶解步骤时，</w:t>
      </w:r>
      <w:r>
        <w:rPr>
          <w:rFonts w:hint="eastAsia"/>
          <w:color w:val="000000"/>
          <w:kern w:val="0"/>
          <w:szCs w:val="21"/>
          <w:lang w:val="en-US" w:eastAsia="zh-CN" w:bidi="en-US"/>
        </w:rPr>
        <w:t>应</w:t>
      </w:r>
      <w:r>
        <w:rPr>
          <w:rFonts w:hint="eastAsia"/>
          <w:color w:val="000000"/>
          <w:kern w:val="0"/>
          <w:szCs w:val="21"/>
          <w:lang w:bidi="en-US"/>
        </w:rPr>
        <w:t>使用液氮冷冻研磨</w:t>
      </w:r>
      <w:r>
        <w:rPr>
          <w:rFonts w:hint="eastAsia"/>
          <w:color w:val="000000"/>
          <w:kern w:val="0"/>
          <w:szCs w:val="21"/>
          <w:lang w:val="en-US" w:eastAsia="zh-CN" w:bidi="en-US"/>
        </w:rPr>
        <w:t>并</w:t>
      </w:r>
      <w:r>
        <w:rPr>
          <w:rFonts w:hint="eastAsia"/>
          <w:color w:val="000000"/>
          <w:kern w:val="0"/>
          <w:szCs w:val="21"/>
          <w:lang w:bidi="en-US"/>
        </w:rPr>
        <w:t xml:space="preserve">过500 </w:t>
      </w:r>
      <w:r>
        <w:rPr>
          <w:color w:val="000000"/>
          <w:kern w:val="0"/>
          <w:szCs w:val="21"/>
          <w:highlight w:val="none"/>
          <w:lang w:bidi="en-US"/>
        </w:rPr>
        <w:t>μ</w:t>
      </w:r>
      <w:r>
        <w:rPr>
          <w:rFonts w:hint="eastAsia"/>
          <w:color w:val="000000"/>
          <w:kern w:val="0"/>
          <w:szCs w:val="21"/>
          <w:highlight w:val="none"/>
          <w:lang w:val="en-US" w:eastAsia="zh-CN" w:bidi="en-US"/>
        </w:rPr>
        <w:t>m</w:t>
      </w:r>
      <w:r>
        <w:rPr>
          <w:rFonts w:hint="eastAsia"/>
          <w:color w:val="000000"/>
          <w:kern w:val="0"/>
          <w:szCs w:val="21"/>
          <w:lang w:bidi="en-US"/>
        </w:rPr>
        <w:t>的筛子。</w:t>
      </w:r>
    </w:p>
    <w:p>
      <w:pPr>
        <w:ind w:firstLine="360" w:firstLineChars="200"/>
        <w:rPr>
          <w:kern w:val="0"/>
          <w:sz w:val="18"/>
          <w:szCs w:val="18"/>
        </w:rPr>
      </w:pPr>
      <w:r>
        <w:rPr>
          <w:rFonts w:hint="eastAsia" w:ascii="黑体" w:hAnsi="黑体" w:eastAsia="黑体" w:cs="黑体"/>
          <w:kern w:val="0"/>
          <w:sz w:val="18"/>
          <w:szCs w:val="18"/>
        </w:rPr>
        <w:t>注：</w:t>
      </w:r>
      <w:r>
        <w:rPr>
          <w:rFonts w:hint="eastAsia" w:eastAsia="黑体"/>
          <w:kern w:val="0"/>
          <w:sz w:val="18"/>
          <w:szCs w:val="18"/>
          <w:highlight w:val="none"/>
          <w:lang w:val="en-US" w:eastAsia="zh-CN"/>
        </w:rPr>
        <w:t>制</w:t>
      </w:r>
      <w:r>
        <w:rPr>
          <w:kern w:val="0"/>
          <w:sz w:val="18"/>
          <w:szCs w:val="18"/>
          <w:highlight w:val="none"/>
        </w:rPr>
        <w:t>样时避免</w:t>
      </w:r>
      <w:r>
        <w:rPr>
          <w:rFonts w:hint="eastAsia"/>
          <w:kern w:val="0"/>
          <w:sz w:val="18"/>
          <w:szCs w:val="18"/>
          <w:highlight w:val="none"/>
          <w:lang w:val="en-US" w:eastAsia="zh-CN"/>
        </w:rPr>
        <w:t>样品</w:t>
      </w:r>
      <w:r>
        <w:rPr>
          <w:kern w:val="0"/>
          <w:sz w:val="18"/>
          <w:szCs w:val="18"/>
          <w:highlight w:val="none"/>
        </w:rPr>
        <w:t>与聚合物材料</w:t>
      </w:r>
      <w:r>
        <w:rPr>
          <w:rFonts w:hint="eastAsia"/>
          <w:kern w:val="0"/>
          <w:sz w:val="18"/>
          <w:szCs w:val="18"/>
          <w:highlight w:val="none"/>
          <w:lang w:val="en-US" w:eastAsia="zh-CN"/>
        </w:rPr>
        <w:t>(器皿或工具)</w:t>
      </w:r>
      <w:r>
        <w:rPr>
          <w:kern w:val="0"/>
          <w:sz w:val="18"/>
          <w:szCs w:val="18"/>
          <w:highlight w:val="none"/>
        </w:rPr>
        <w:t>接触。</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8 程序</w:t>
      </w:r>
    </w:p>
    <w:p>
      <w:pPr>
        <w:pStyle w:val="47"/>
        <w:rPr>
          <w:rFonts w:hint="eastAsia" w:eastAsia="黑体"/>
          <w:lang w:eastAsia="zh-CN"/>
        </w:rPr>
      </w:pPr>
      <w:bookmarkStart w:id="14" w:name="bookmark3"/>
      <w:r>
        <w:t xml:space="preserve">8.1 </w:t>
      </w:r>
      <w:bookmarkEnd w:id="14"/>
      <w:r>
        <w:rPr>
          <w:rFonts w:hint="eastAsia"/>
          <w:lang w:eastAsia="zh-CN"/>
        </w:rPr>
        <w:t>总述</w:t>
      </w:r>
    </w:p>
    <w:p>
      <w:pPr>
        <w:ind w:firstLine="420" w:firstLineChars="200"/>
        <w:rPr>
          <w:kern w:val="0"/>
          <w:szCs w:val="21"/>
        </w:rPr>
      </w:pPr>
      <w:r>
        <w:rPr>
          <w:kern w:val="0"/>
          <w:szCs w:val="21"/>
        </w:rPr>
        <w:t>应遵循以下一般说明:</w:t>
      </w:r>
    </w:p>
    <w:p>
      <w:pPr>
        <w:ind w:firstLine="420" w:firstLineChars="200"/>
        <w:rPr>
          <w:kern w:val="0"/>
          <w:szCs w:val="21"/>
        </w:rPr>
      </w:pPr>
      <w:r>
        <w:rPr>
          <w:kern w:val="0"/>
          <w:szCs w:val="21"/>
        </w:rPr>
        <w:t>为减少空白值，应确保所有玻璃</w:t>
      </w:r>
      <w:r>
        <w:rPr>
          <w:rFonts w:hint="eastAsia"/>
          <w:kern w:val="0"/>
          <w:szCs w:val="21"/>
          <w:lang w:val="en-US" w:eastAsia="zh-CN"/>
        </w:rPr>
        <w:t>器皿</w:t>
      </w:r>
      <w:r>
        <w:rPr>
          <w:kern w:val="0"/>
          <w:szCs w:val="21"/>
        </w:rPr>
        <w:t>（不包括</w:t>
      </w:r>
      <w:r>
        <w:rPr>
          <w:rFonts w:hint="eastAsia"/>
          <w:kern w:val="0"/>
          <w:szCs w:val="21"/>
          <w:lang w:eastAsia="zh-CN"/>
        </w:rPr>
        <w:t>容量瓶</w:t>
      </w:r>
      <w:r>
        <w:rPr>
          <w:rFonts w:hint="eastAsia"/>
          <w:kern w:val="0"/>
          <w:szCs w:val="21"/>
          <w:lang w:val="en-US" w:eastAsia="zh-CN"/>
        </w:rPr>
        <w:t>等需要体积校准的玻璃器皿</w:t>
      </w:r>
      <w:r>
        <w:rPr>
          <w:kern w:val="0"/>
          <w:szCs w:val="21"/>
        </w:rPr>
        <w:t>）的清洁度，玻璃棉在450℃下至少去活30</w:t>
      </w:r>
      <w:r>
        <w:rPr>
          <w:rFonts w:hint="eastAsia"/>
          <w:kern w:val="0"/>
          <w:szCs w:val="21"/>
          <w:lang w:eastAsia="zh-CN"/>
        </w:rPr>
        <w:t>min</w:t>
      </w:r>
      <w:r>
        <w:rPr>
          <w:kern w:val="0"/>
          <w:szCs w:val="21"/>
        </w:rPr>
        <w:t>。为避免六溴环十二烷在提取和分析过程中被紫外线分解和/或脱溴，应使用棕色或琥珀色玻璃制成的玻璃</w:t>
      </w:r>
      <w:r>
        <w:rPr>
          <w:rFonts w:hint="eastAsia"/>
          <w:kern w:val="0"/>
          <w:szCs w:val="21"/>
          <w:lang w:val="en-US" w:eastAsia="zh-CN"/>
        </w:rPr>
        <w:t>器皿</w:t>
      </w:r>
      <w:r>
        <w:rPr>
          <w:kern w:val="0"/>
          <w:szCs w:val="21"/>
        </w:rPr>
        <w:t>。</w:t>
      </w:r>
    </w:p>
    <w:p>
      <w:pPr>
        <w:ind w:firstLine="360" w:firstLineChars="200"/>
        <w:rPr>
          <w:kern w:val="0"/>
          <w:sz w:val="18"/>
          <w:szCs w:val="18"/>
        </w:rPr>
      </w:pPr>
      <w:r>
        <w:rPr>
          <w:rFonts w:hint="eastAsia" w:ascii="黑体" w:hAnsi="黑体" w:eastAsia="黑体" w:cs="黑体"/>
          <w:kern w:val="0"/>
          <w:sz w:val="18"/>
          <w:szCs w:val="18"/>
        </w:rPr>
        <w:t>注：</w:t>
      </w:r>
      <w:r>
        <w:rPr>
          <w:kern w:val="0"/>
          <w:sz w:val="18"/>
          <w:szCs w:val="18"/>
        </w:rPr>
        <w:t>如果没有棕色或琥珀色玻璃，可以用铝箔来遮挡光线。</w:t>
      </w:r>
    </w:p>
    <w:p>
      <w:pPr>
        <w:ind w:firstLine="420" w:firstLineChars="200"/>
        <w:rPr>
          <w:kern w:val="0"/>
          <w:szCs w:val="21"/>
        </w:rPr>
      </w:pPr>
      <w:r>
        <w:rPr>
          <w:kern w:val="0"/>
          <w:szCs w:val="21"/>
        </w:rPr>
        <w:t>如果样品中的Br含量（通过XRF、C-IC或其他方法测定）远超0.1%的范围，</w:t>
      </w:r>
      <w:r>
        <w:rPr>
          <w:rFonts w:hint="eastAsia" w:ascii="宋体"/>
          <w:szCs w:val="21"/>
        </w:rPr>
        <w:t>则需要调整样品量或在内标添加之前</w:t>
      </w:r>
      <w:r>
        <w:rPr>
          <w:rFonts w:hint="eastAsia" w:asciiTheme="minorEastAsia" w:hAnsiTheme="minorEastAsia" w:eastAsiaTheme="minorEastAsia"/>
          <w:kern w:val="0"/>
          <w:szCs w:val="21"/>
        </w:rPr>
        <w:t>已</w:t>
      </w:r>
      <w:r>
        <w:rPr>
          <w:rFonts w:hint="eastAsia" w:ascii="宋体"/>
          <w:szCs w:val="21"/>
        </w:rPr>
        <w:t>适当稀释</w:t>
      </w:r>
      <w:r>
        <w:rPr>
          <w:rFonts w:hint="eastAsia" w:ascii="宋体"/>
          <w:szCs w:val="21"/>
          <w:lang w:val="en-US" w:eastAsia="zh-CN"/>
        </w:rPr>
        <w:t>提</w:t>
      </w:r>
      <w:r>
        <w:rPr>
          <w:rFonts w:hint="eastAsia" w:ascii="宋体"/>
          <w:szCs w:val="21"/>
        </w:rPr>
        <w:t>取物</w:t>
      </w:r>
      <w:r>
        <w:rPr>
          <w:rFonts w:hint="eastAsia" w:asciiTheme="minorEastAsia" w:hAnsiTheme="minorEastAsia" w:eastAsiaTheme="minorEastAsia"/>
          <w:kern w:val="0"/>
          <w:szCs w:val="21"/>
        </w:rPr>
        <w:t>进行重复分析</w:t>
      </w:r>
      <w:r>
        <w:rPr>
          <w:color w:val="000000"/>
          <w:kern w:val="0"/>
          <w:szCs w:val="21"/>
          <w:lang w:bidi="en-US"/>
        </w:rPr>
        <w:t>。</w:t>
      </w:r>
    </w:p>
    <w:p>
      <w:pPr>
        <w:pStyle w:val="47"/>
      </w:pPr>
      <w:bookmarkStart w:id="15" w:name="bookmark4"/>
      <w:r>
        <w:t>8.2 样品制备</w:t>
      </w:r>
      <w:bookmarkEnd w:id="15"/>
    </w:p>
    <w:p>
      <w:pPr>
        <w:widowControl/>
        <w:spacing w:before="156" w:beforeLines="50" w:after="156" w:afterLines="50"/>
        <w:jc w:val="left"/>
        <w:outlineLvl w:val="4"/>
        <w:rPr>
          <w:rFonts w:hint="eastAsia" w:ascii="黑体" w:hAnsi="黑体" w:eastAsia="黑体"/>
          <w:kern w:val="0"/>
          <w:szCs w:val="21"/>
          <w:lang w:val="en-US" w:eastAsia="zh-CN"/>
        </w:rPr>
      </w:pPr>
      <w:bookmarkStart w:id="16" w:name="bookmark5"/>
      <w:r>
        <w:rPr>
          <w:rFonts w:ascii="黑体" w:hAnsi="黑体" w:eastAsia="黑体"/>
          <w:kern w:val="0"/>
          <w:szCs w:val="21"/>
        </w:rPr>
        <w:t xml:space="preserve">8.2.1 </w:t>
      </w:r>
      <w:bookmarkEnd w:id="16"/>
      <w:r>
        <w:rPr>
          <w:rFonts w:ascii="黑体" w:hAnsi="黑体" w:eastAsia="黑体"/>
          <w:kern w:val="0"/>
          <w:szCs w:val="21"/>
        </w:rPr>
        <w:t>内标</w:t>
      </w:r>
      <w:r>
        <w:rPr>
          <w:rFonts w:hint="eastAsia" w:ascii="黑体" w:hAnsi="黑体" w:eastAsia="黑体"/>
          <w:kern w:val="0"/>
          <w:szCs w:val="21"/>
          <w:lang w:val="en-US" w:eastAsia="zh-CN"/>
        </w:rPr>
        <w:t>溶液配制</w:t>
      </w:r>
    </w:p>
    <w:p>
      <w:pPr>
        <w:rPr>
          <w:color w:val="000000"/>
          <w:kern w:val="0"/>
          <w:szCs w:val="21"/>
          <w:highlight w:val="none"/>
          <w:lang w:bidi="en-US"/>
        </w:rPr>
      </w:pPr>
      <w:r>
        <w:rPr>
          <w:rFonts w:hint="eastAsia"/>
          <w:color w:val="000000"/>
          <w:kern w:val="0"/>
          <w:szCs w:val="21"/>
          <w:highlight w:val="none"/>
          <w:lang w:val="en-US" w:eastAsia="zh-CN" w:bidi="en-US"/>
        </w:rPr>
        <w:t xml:space="preserve">   将内标物（5.h)）溶于</w:t>
      </w:r>
      <w:r>
        <w:rPr>
          <w:rFonts w:hint="default"/>
          <w:color w:val="000000"/>
          <w:kern w:val="0"/>
          <w:szCs w:val="21"/>
          <w:highlight w:val="none"/>
          <w:lang w:val="en-US" w:eastAsia="zh-CN" w:bidi="en-US"/>
        </w:rPr>
        <w:t>甲苯或其他有机溶剂</w:t>
      </w:r>
      <w:r>
        <w:rPr>
          <w:rFonts w:hint="eastAsia"/>
          <w:color w:val="000000"/>
          <w:kern w:val="0"/>
          <w:szCs w:val="21"/>
          <w:highlight w:val="none"/>
          <w:lang w:val="en-US" w:eastAsia="zh-CN" w:bidi="en-US"/>
        </w:rPr>
        <w:t>中，配制成浓度为</w:t>
      </w:r>
      <w:r>
        <w:rPr>
          <w:color w:val="000000"/>
          <w:kern w:val="0"/>
          <w:szCs w:val="21"/>
          <w:highlight w:val="none"/>
          <w:lang w:bidi="en-US"/>
        </w:rPr>
        <w:t>50</w:t>
      </w:r>
      <w:r>
        <w:rPr>
          <w:rFonts w:hint="eastAsia"/>
          <w:color w:val="000000"/>
          <w:kern w:val="0"/>
          <w:szCs w:val="21"/>
          <w:highlight w:val="none"/>
          <w:lang w:val="en-US" w:eastAsia="zh-CN" w:bidi="en-US"/>
        </w:rPr>
        <w:t xml:space="preserve"> </w:t>
      </w:r>
      <w:r>
        <w:rPr>
          <w:color w:val="000000"/>
          <w:kern w:val="0"/>
          <w:szCs w:val="21"/>
          <w:highlight w:val="none"/>
          <w:lang w:bidi="en-US"/>
        </w:rPr>
        <w:t>μg/</w:t>
      </w:r>
      <w:r>
        <w:rPr>
          <w:rFonts w:hint="eastAsia"/>
          <w:color w:val="000000"/>
          <w:kern w:val="0"/>
          <w:szCs w:val="21"/>
          <w:highlight w:val="none"/>
          <w:lang w:eastAsia="zh-CN" w:bidi="en-US"/>
        </w:rPr>
        <w:t>mL</w:t>
      </w:r>
      <w:r>
        <w:rPr>
          <w:rFonts w:hint="eastAsia"/>
          <w:color w:val="000000"/>
          <w:kern w:val="0"/>
          <w:szCs w:val="21"/>
          <w:highlight w:val="none"/>
          <w:lang w:val="en-US" w:eastAsia="zh-CN" w:bidi="en-US"/>
        </w:rPr>
        <w:t>的内标溶液</w:t>
      </w:r>
      <w:r>
        <w:rPr>
          <w:rFonts w:hint="default"/>
          <w:color w:val="000000"/>
          <w:kern w:val="0"/>
          <w:szCs w:val="21"/>
          <w:highlight w:val="none"/>
          <w:lang w:val="en-US" w:eastAsia="zh-CN" w:bidi="en-US"/>
        </w:rPr>
        <w:t>。</w:t>
      </w:r>
    </w:p>
    <w:p>
      <w:pPr>
        <w:widowControl/>
        <w:spacing w:before="156" w:beforeLines="50" w:after="156" w:afterLines="50"/>
        <w:jc w:val="left"/>
        <w:outlineLvl w:val="4"/>
        <w:rPr>
          <w:rFonts w:ascii="黑体" w:hAnsi="黑体" w:eastAsia="黑体"/>
          <w:kern w:val="0"/>
          <w:szCs w:val="21"/>
          <w:highlight w:val="none"/>
        </w:rPr>
      </w:pPr>
      <w:bookmarkStart w:id="17" w:name="bookmark6"/>
      <w:r>
        <w:rPr>
          <w:rFonts w:ascii="黑体" w:hAnsi="黑体" w:eastAsia="黑体"/>
          <w:kern w:val="0"/>
          <w:szCs w:val="21"/>
          <w:highlight w:val="none"/>
        </w:rPr>
        <w:t>8.2.2 索氏提取器的预提取</w:t>
      </w:r>
      <w:bookmarkEnd w:id="17"/>
    </w:p>
    <w:p>
      <w:pPr>
        <w:ind w:left="848" w:leftChars="175" w:hanging="480"/>
        <w:rPr>
          <w:color w:val="000000"/>
          <w:kern w:val="0"/>
          <w:szCs w:val="21"/>
          <w:lang w:bidi="en-US"/>
        </w:rPr>
      </w:pPr>
      <w:r>
        <w:rPr>
          <w:color w:val="000000"/>
          <w:kern w:val="0"/>
          <w:szCs w:val="21"/>
          <w:highlight w:val="none"/>
          <w:lang w:bidi="en-US"/>
        </w:rPr>
        <w:t>为了清洗索氏提取器（6.c</w:t>
      </w:r>
      <w:r>
        <w:rPr>
          <w:color w:val="000000"/>
          <w:kern w:val="0"/>
          <w:szCs w:val="21"/>
          <w:lang w:bidi="en-US"/>
        </w:rPr>
        <w:t>），用70</w:t>
      </w:r>
      <w:r>
        <w:rPr>
          <w:rFonts w:hint="eastAsia"/>
          <w:color w:val="000000"/>
          <w:kern w:val="0"/>
          <w:szCs w:val="21"/>
          <w:lang w:eastAsia="zh-CN" w:bidi="en-US"/>
        </w:rPr>
        <w:t xml:space="preserve"> mL</w:t>
      </w:r>
      <w:r>
        <w:rPr>
          <w:color w:val="000000"/>
          <w:kern w:val="0"/>
          <w:szCs w:val="21"/>
          <w:lang w:bidi="en-US"/>
        </w:rPr>
        <w:t>甲苯完成2小时预提取。</w:t>
      </w:r>
      <w:r>
        <w:rPr>
          <w:rFonts w:hint="eastAsia"/>
          <w:color w:val="000000"/>
          <w:kern w:val="0"/>
          <w:szCs w:val="21"/>
          <w:lang w:val="en-US" w:eastAsia="zh-CN" w:bidi="en-US"/>
        </w:rPr>
        <w:t>舍弃洗涤溶剂</w:t>
      </w:r>
      <w:r>
        <w:rPr>
          <w:color w:val="000000"/>
          <w:kern w:val="0"/>
          <w:szCs w:val="21"/>
          <w:lang w:bidi="en-US"/>
        </w:rPr>
        <w:t>。</w:t>
      </w:r>
    </w:p>
    <w:p>
      <w:pPr>
        <w:widowControl/>
        <w:spacing w:before="156" w:beforeLines="50" w:after="156" w:afterLines="50"/>
        <w:jc w:val="left"/>
        <w:outlineLvl w:val="4"/>
        <w:rPr>
          <w:rFonts w:ascii="黑体" w:hAnsi="黑体" w:eastAsia="黑体"/>
          <w:kern w:val="0"/>
          <w:szCs w:val="21"/>
        </w:rPr>
      </w:pPr>
      <w:bookmarkStart w:id="18" w:name="bookmark7"/>
      <w:r>
        <w:rPr>
          <w:rFonts w:ascii="黑体" w:hAnsi="黑体" w:eastAsia="黑体"/>
          <w:kern w:val="0"/>
          <w:szCs w:val="21"/>
        </w:rPr>
        <w:t>8.2.3 索氏提取法</w:t>
      </w:r>
      <w:bookmarkEnd w:id="18"/>
    </w:p>
    <w:p>
      <w:pPr>
        <w:ind w:left="848" w:leftChars="175" w:hanging="480"/>
        <w:rPr>
          <w:color w:val="000000"/>
          <w:kern w:val="0"/>
          <w:szCs w:val="21"/>
          <w:lang w:bidi="en-US"/>
        </w:rPr>
      </w:pPr>
      <w:r>
        <w:rPr>
          <w:color w:val="000000"/>
          <w:kern w:val="0"/>
          <w:szCs w:val="21"/>
          <w:lang w:bidi="en-US"/>
        </w:rPr>
        <w:t>提取样品时应遵循以下步骤：</w:t>
      </w:r>
    </w:p>
    <w:p>
      <w:pPr>
        <w:ind w:left="851" w:leftChars="200" w:hanging="431"/>
        <w:rPr>
          <w:color w:val="000000"/>
          <w:kern w:val="0"/>
          <w:szCs w:val="21"/>
          <w:lang w:bidi="en-US"/>
        </w:rPr>
      </w:pPr>
      <w:r>
        <w:rPr>
          <w:color w:val="000000"/>
          <w:kern w:val="0"/>
          <w:szCs w:val="21"/>
          <w:lang w:bidi="en-US"/>
        </w:rPr>
        <w:t>a）</w:t>
      </w:r>
      <w:r>
        <w:rPr>
          <w:color w:val="000000"/>
          <w:kern w:val="0"/>
          <w:szCs w:val="21"/>
          <w:lang w:bidi="en-US"/>
        </w:rPr>
        <w:tab/>
      </w:r>
      <w:r>
        <w:rPr>
          <w:color w:val="000000"/>
          <w:kern w:val="0"/>
          <w:szCs w:val="21"/>
          <w:lang w:bidi="en-US"/>
        </w:rPr>
        <w:t>称量0.5 g粉碎样品，精确至0.0001 g，使用漏斗将样品转移至提取套管。将提取套管放入索氏提取器。使用甲苯作为提取溶剂。</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为了确保定量转移，用大约10</w:t>
      </w:r>
      <w:r>
        <w:rPr>
          <w:rFonts w:hint="eastAsia"/>
          <w:color w:val="000000"/>
          <w:kern w:val="0"/>
          <w:szCs w:val="21"/>
          <w:lang w:eastAsia="zh-CN" w:bidi="en-US"/>
        </w:rPr>
        <w:t xml:space="preserve"> mL</w:t>
      </w:r>
      <w:r>
        <w:rPr>
          <w:color w:val="000000"/>
          <w:kern w:val="0"/>
          <w:szCs w:val="21"/>
          <w:lang w:bidi="en-US"/>
        </w:rPr>
        <w:t>的提取溶剂冲洗漏斗。</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为了防止样品漂浮，提取套管用玻璃棉封闭（6.j）。在200</w:t>
      </w:r>
      <w:r>
        <w:rPr>
          <w:rFonts w:hint="eastAsia"/>
          <w:color w:val="000000"/>
          <w:kern w:val="0"/>
          <w:szCs w:val="21"/>
          <w:lang w:eastAsia="zh-CN" w:bidi="en-US"/>
        </w:rPr>
        <w:t xml:space="preserve"> mL</w:t>
      </w:r>
      <w:r>
        <w:rPr>
          <w:color w:val="000000"/>
          <w:kern w:val="0"/>
          <w:szCs w:val="21"/>
          <w:lang w:bidi="en-US"/>
        </w:rPr>
        <w:t>的圆底烧瓶中放入大约80</w:t>
      </w:r>
      <w:r>
        <w:rPr>
          <w:rFonts w:hint="eastAsia"/>
          <w:color w:val="000000"/>
          <w:kern w:val="0"/>
          <w:szCs w:val="21"/>
          <w:lang w:eastAsia="zh-CN" w:bidi="en-US"/>
        </w:rPr>
        <w:t xml:space="preserve"> mL</w:t>
      </w:r>
      <w:r>
        <w:rPr>
          <w:color w:val="000000"/>
          <w:kern w:val="0"/>
          <w:szCs w:val="21"/>
          <w:lang w:bidi="en-US"/>
        </w:rPr>
        <w:t>的溶剂，用铝箔将其覆盖以阻挡光线，样品提取时间至少2小时，每个循环期大约2到3</w:t>
      </w:r>
      <w:r>
        <w:rPr>
          <w:rFonts w:hint="eastAsia"/>
          <w:color w:val="000000"/>
          <w:kern w:val="0"/>
          <w:szCs w:val="21"/>
          <w:lang w:eastAsia="zh-CN" w:bidi="en-US"/>
        </w:rPr>
        <w:t>min</w:t>
      </w:r>
      <w:r>
        <w:rPr>
          <w:color w:val="000000"/>
          <w:kern w:val="0"/>
          <w:szCs w:val="21"/>
          <w:lang w:bidi="en-US"/>
        </w:rPr>
        <w:t>。</w:t>
      </w:r>
    </w:p>
    <w:p>
      <w:pPr>
        <w:ind w:left="848" w:leftChars="175" w:hanging="480"/>
        <w:rPr>
          <w:color w:val="000000"/>
          <w:kern w:val="0"/>
          <w:sz w:val="18"/>
          <w:szCs w:val="18"/>
          <w:lang w:bidi="en-US"/>
        </w:rPr>
      </w:pPr>
      <w:r>
        <w:rPr>
          <w:rFonts w:hint="eastAsia" w:ascii="黑体" w:hAnsi="黑体" w:eastAsia="黑体" w:cs="黑体"/>
          <w:color w:val="000000"/>
          <w:kern w:val="0"/>
          <w:sz w:val="18"/>
          <w:szCs w:val="18"/>
          <w:lang w:bidi="en-US"/>
        </w:rPr>
        <w:t>注：</w:t>
      </w:r>
      <w:r>
        <w:rPr>
          <w:color w:val="000000"/>
          <w:kern w:val="0"/>
          <w:sz w:val="18"/>
          <w:szCs w:val="18"/>
          <w:lang w:bidi="en-US"/>
        </w:rPr>
        <w:t>样品量和提取量可以按相同比例减少，以保持相同循环速率。</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索氏提取后，在室温下冷却。</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在旋转蒸发器上蒸发圆底烧瓶内的提取液，直到剩下大约10</w:t>
      </w:r>
      <w:r>
        <w:rPr>
          <w:rFonts w:hint="eastAsia"/>
          <w:color w:val="000000"/>
          <w:kern w:val="0"/>
          <w:szCs w:val="21"/>
          <w:lang w:eastAsia="zh-CN" w:bidi="en-US"/>
        </w:rPr>
        <w:t xml:space="preserve"> mL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将</w:t>
      </w:r>
      <w:r>
        <w:rPr>
          <w:rFonts w:hint="eastAsia"/>
          <w:color w:val="000000"/>
          <w:kern w:val="0"/>
          <w:szCs w:val="21"/>
          <w:lang w:val="en-US" w:eastAsia="zh-CN" w:bidi="en-US"/>
        </w:rPr>
        <w:t>e）中提取液</w:t>
      </w:r>
      <w:r>
        <w:rPr>
          <w:color w:val="000000"/>
          <w:kern w:val="0"/>
          <w:szCs w:val="21"/>
          <w:highlight w:val="none"/>
          <w:lang w:bidi="en-US"/>
        </w:rPr>
        <w:t>转移到20</w:t>
      </w:r>
      <w:r>
        <w:rPr>
          <w:rFonts w:hint="eastAsia"/>
          <w:color w:val="000000"/>
          <w:kern w:val="0"/>
          <w:szCs w:val="21"/>
          <w:highlight w:val="none"/>
          <w:lang w:eastAsia="zh-CN" w:bidi="en-US"/>
        </w:rPr>
        <w:t xml:space="preserve"> mL容</w:t>
      </w:r>
      <w:r>
        <w:rPr>
          <w:rFonts w:hint="eastAsia"/>
          <w:color w:val="000000"/>
          <w:kern w:val="0"/>
          <w:szCs w:val="21"/>
          <w:lang w:eastAsia="zh-CN" w:bidi="en-US"/>
        </w:rPr>
        <w:t>量瓶</w:t>
      </w:r>
      <w:r>
        <w:rPr>
          <w:color w:val="000000"/>
          <w:kern w:val="0"/>
          <w:szCs w:val="21"/>
          <w:lang w:bidi="en-US"/>
        </w:rPr>
        <w:t>中，然后用溶剂定容。</w:t>
      </w:r>
    </w:p>
    <w:p>
      <w:pPr>
        <w:ind w:left="851" w:leftChars="200" w:hanging="431"/>
        <w:rPr>
          <w:color w:val="000000"/>
          <w:kern w:val="0"/>
          <w:szCs w:val="21"/>
          <w:highlight w:val="none"/>
          <w:lang w:bidi="en-US"/>
        </w:rPr>
      </w:pPr>
      <w:r>
        <w:rPr>
          <w:color w:val="000000"/>
          <w:kern w:val="0"/>
          <w:szCs w:val="21"/>
          <w:lang w:bidi="en-US"/>
        </w:rPr>
        <w:t>g）</w:t>
      </w:r>
      <w:r>
        <w:rPr>
          <w:color w:val="000000"/>
          <w:kern w:val="0"/>
          <w:szCs w:val="21"/>
          <w:lang w:bidi="en-US"/>
        </w:rPr>
        <w:tab/>
      </w:r>
      <w:r>
        <w:rPr>
          <w:rFonts w:hint="eastAsia"/>
          <w:color w:val="000000"/>
          <w:kern w:val="0"/>
          <w:szCs w:val="21"/>
          <w:highlight w:val="none"/>
          <w:lang w:val="en-US" w:eastAsia="zh-CN" w:bidi="en-US"/>
        </w:rPr>
        <w:t>f）中溶液过</w:t>
      </w:r>
      <w:r>
        <w:rPr>
          <w:color w:val="000000"/>
          <w:kern w:val="0"/>
          <w:szCs w:val="21"/>
          <w:highlight w:val="none"/>
          <w:lang w:bidi="en-US"/>
        </w:rPr>
        <w:t>0.45μ</w:t>
      </w:r>
      <w:r>
        <w:rPr>
          <w:rFonts w:hint="eastAsia"/>
          <w:color w:val="000000"/>
          <w:kern w:val="0"/>
          <w:szCs w:val="21"/>
          <w:highlight w:val="none"/>
          <w:lang w:val="en-US" w:eastAsia="zh-CN" w:bidi="en-US"/>
        </w:rPr>
        <w:t>m滤膜（6.o)）后制成待测试样，</w:t>
      </w:r>
      <w:r>
        <w:rPr>
          <w:color w:val="000000"/>
          <w:kern w:val="0"/>
          <w:szCs w:val="21"/>
          <w:lang w:bidi="en-US"/>
        </w:rPr>
        <w:t>完成GC-MS分析</w:t>
      </w:r>
      <w:r>
        <w:rPr>
          <w:color w:val="000000"/>
          <w:kern w:val="0"/>
          <w:szCs w:val="21"/>
          <w:highlight w:val="none"/>
          <w:lang w:bidi="en-US"/>
        </w:rPr>
        <w:t>。</w:t>
      </w:r>
    </w:p>
    <w:p>
      <w:pPr>
        <w:widowControl/>
        <w:spacing w:before="156" w:beforeLines="50" w:after="156" w:afterLines="50"/>
        <w:jc w:val="left"/>
        <w:outlineLvl w:val="4"/>
        <w:rPr>
          <w:rFonts w:ascii="黑体" w:hAnsi="黑体" w:eastAsia="黑体"/>
          <w:kern w:val="0"/>
          <w:szCs w:val="21"/>
          <w:highlight w:val="none"/>
        </w:rPr>
      </w:pPr>
      <w:bookmarkStart w:id="19" w:name="bookmark8"/>
      <w:r>
        <w:rPr>
          <w:rFonts w:ascii="黑体" w:hAnsi="黑体" w:eastAsia="黑体"/>
          <w:kern w:val="0"/>
          <w:szCs w:val="21"/>
          <w:highlight w:val="none"/>
        </w:rPr>
        <w:t>8.2.4 可溶性聚合物的替代提取程序</w:t>
      </w:r>
      <w:bookmarkEnd w:id="19"/>
    </w:p>
    <w:p>
      <w:pPr>
        <w:ind w:firstLine="420" w:firstLineChars="200"/>
        <w:rPr>
          <w:kern w:val="0"/>
          <w:szCs w:val="21"/>
          <w:highlight w:val="none"/>
        </w:rPr>
      </w:pPr>
      <w:r>
        <w:rPr>
          <w:kern w:val="0"/>
          <w:szCs w:val="21"/>
          <w:highlight w:val="none"/>
        </w:rPr>
        <w:t>作为索氏提取的替代方法，超声波溶解程序适用于可溶于四氢呋喃的聚合物，具体按照以下步骤：</w:t>
      </w:r>
    </w:p>
    <w:p>
      <w:pPr>
        <w:ind w:left="851" w:leftChars="200" w:hanging="431"/>
        <w:rPr>
          <w:color w:val="000000"/>
          <w:kern w:val="0"/>
          <w:szCs w:val="21"/>
          <w:highlight w:val="none"/>
          <w:lang w:bidi="en-US"/>
        </w:rPr>
      </w:pPr>
      <w:r>
        <w:rPr>
          <w:color w:val="000000"/>
          <w:kern w:val="0"/>
          <w:szCs w:val="21"/>
          <w:highlight w:val="none"/>
          <w:lang w:bidi="en-US"/>
        </w:rPr>
        <w:t>a）</w:t>
      </w:r>
      <w:r>
        <w:rPr>
          <w:color w:val="000000"/>
          <w:kern w:val="0"/>
          <w:szCs w:val="21"/>
          <w:highlight w:val="none"/>
          <w:lang w:bidi="en-US"/>
        </w:rPr>
        <w:tab/>
      </w:r>
      <w:r>
        <w:rPr>
          <w:color w:val="000000"/>
          <w:kern w:val="0"/>
          <w:szCs w:val="21"/>
          <w:highlight w:val="none"/>
          <w:lang w:bidi="en-US"/>
        </w:rPr>
        <w:t>称量0.5 g样品，精确至0.0001 g，放入合适的玻璃容器中。</w:t>
      </w:r>
    </w:p>
    <w:p>
      <w:pPr>
        <w:ind w:left="851" w:leftChars="200" w:hanging="431"/>
        <w:rPr>
          <w:color w:val="000000"/>
          <w:kern w:val="0"/>
          <w:szCs w:val="21"/>
          <w:highlight w:val="none"/>
          <w:lang w:bidi="en-US"/>
        </w:rPr>
      </w:pPr>
      <w:r>
        <w:rPr>
          <w:color w:val="000000"/>
          <w:kern w:val="0"/>
          <w:szCs w:val="21"/>
          <w:highlight w:val="none"/>
          <w:lang w:bidi="en-US"/>
        </w:rPr>
        <w:t>b）</w:t>
      </w:r>
      <w:r>
        <w:rPr>
          <w:color w:val="000000"/>
          <w:kern w:val="0"/>
          <w:szCs w:val="21"/>
          <w:highlight w:val="none"/>
          <w:lang w:bidi="en-US"/>
        </w:rPr>
        <w:tab/>
      </w:r>
      <w:r>
        <w:rPr>
          <w:color w:val="000000"/>
          <w:kern w:val="0"/>
          <w:szCs w:val="21"/>
          <w:highlight w:val="none"/>
          <w:lang w:bidi="en-US"/>
        </w:rPr>
        <w:t>定量加入30</w:t>
      </w:r>
      <w:r>
        <w:rPr>
          <w:rFonts w:hint="eastAsia"/>
          <w:color w:val="000000"/>
          <w:kern w:val="0"/>
          <w:szCs w:val="21"/>
          <w:highlight w:val="none"/>
          <w:lang w:eastAsia="zh-CN" w:bidi="en-US"/>
        </w:rPr>
        <w:t xml:space="preserve"> mL</w:t>
      </w:r>
      <w:r>
        <w:rPr>
          <w:color w:val="000000"/>
          <w:kern w:val="0"/>
          <w:szCs w:val="21"/>
          <w:highlight w:val="none"/>
          <w:lang w:bidi="en-US"/>
        </w:rPr>
        <w:t>四氢呋喃，将样品放入40℃的超声波清洗器中约1小时或直至溶解。</w:t>
      </w:r>
    </w:p>
    <w:p>
      <w:pPr>
        <w:ind w:left="851" w:leftChars="200" w:hanging="431"/>
        <w:rPr>
          <w:color w:val="000000"/>
          <w:kern w:val="0"/>
          <w:szCs w:val="21"/>
          <w:highlight w:val="none"/>
          <w:lang w:bidi="en-US"/>
        </w:rPr>
      </w:pPr>
      <w:r>
        <w:rPr>
          <w:color w:val="000000"/>
          <w:kern w:val="0"/>
          <w:szCs w:val="21"/>
          <w:highlight w:val="none"/>
          <w:lang w:bidi="en-US"/>
        </w:rPr>
        <w:t>c）</w:t>
      </w:r>
      <w:r>
        <w:rPr>
          <w:color w:val="000000"/>
          <w:kern w:val="0"/>
          <w:szCs w:val="21"/>
          <w:highlight w:val="none"/>
          <w:lang w:bidi="en-US"/>
        </w:rPr>
        <w:tab/>
      </w:r>
      <w:r>
        <w:rPr>
          <w:color w:val="000000"/>
          <w:kern w:val="0"/>
          <w:szCs w:val="21"/>
          <w:highlight w:val="none"/>
          <w:lang w:bidi="en-US"/>
        </w:rPr>
        <w:t>缓慢滴加70</w:t>
      </w:r>
      <w:r>
        <w:rPr>
          <w:rFonts w:hint="eastAsia"/>
          <w:color w:val="000000"/>
          <w:kern w:val="0"/>
          <w:szCs w:val="21"/>
          <w:highlight w:val="none"/>
          <w:lang w:eastAsia="zh-CN" w:bidi="en-US"/>
        </w:rPr>
        <w:t xml:space="preserve"> mL</w:t>
      </w:r>
      <w:r>
        <w:rPr>
          <w:color w:val="000000"/>
          <w:kern w:val="0"/>
          <w:szCs w:val="21"/>
          <w:highlight w:val="none"/>
          <w:lang w:bidi="en-US"/>
        </w:rPr>
        <w:t>甲醇，</w:t>
      </w:r>
      <w:r>
        <w:rPr>
          <w:rFonts w:hint="eastAsia" w:ascii="宋体"/>
          <w:szCs w:val="21"/>
        </w:rPr>
        <w:t>使溶解的聚合物树脂</w:t>
      </w:r>
      <w:r>
        <w:rPr>
          <w:color w:val="000000"/>
          <w:kern w:val="0"/>
          <w:szCs w:val="21"/>
          <w:highlight w:val="none"/>
          <w:lang w:bidi="en-US"/>
        </w:rPr>
        <w:t>从溶液中</w:t>
      </w:r>
      <w:r>
        <w:rPr>
          <w:rFonts w:hint="eastAsia" w:ascii="宋体"/>
          <w:szCs w:val="21"/>
        </w:rPr>
        <w:t>层析出来</w:t>
      </w:r>
      <w:r>
        <w:rPr>
          <w:color w:val="000000"/>
          <w:kern w:val="0"/>
          <w:szCs w:val="21"/>
          <w:highlight w:val="none"/>
          <w:lang w:bidi="en-US"/>
        </w:rPr>
        <w:t>。</w:t>
      </w:r>
    </w:p>
    <w:p>
      <w:pPr>
        <w:ind w:left="851" w:leftChars="200" w:hanging="431"/>
        <w:rPr>
          <w:color w:val="000000"/>
          <w:kern w:val="0"/>
          <w:szCs w:val="21"/>
          <w:highlight w:val="none"/>
          <w:lang w:bidi="en-US"/>
        </w:rPr>
      </w:pPr>
      <w:r>
        <w:rPr>
          <w:color w:val="000000"/>
          <w:kern w:val="0"/>
          <w:szCs w:val="21"/>
          <w:highlight w:val="none"/>
          <w:lang w:bidi="en-US"/>
        </w:rPr>
        <w:t>d）</w:t>
      </w:r>
      <w:r>
        <w:rPr>
          <w:color w:val="000000"/>
          <w:kern w:val="0"/>
          <w:szCs w:val="21"/>
          <w:highlight w:val="none"/>
          <w:lang w:bidi="en-US"/>
        </w:rPr>
        <w:tab/>
      </w:r>
      <w:r>
        <w:rPr>
          <w:color w:val="000000"/>
          <w:kern w:val="0"/>
          <w:szCs w:val="21"/>
          <w:highlight w:val="none"/>
          <w:lang w:bidi="en-US"/>
        </w:rPr>
        <w:t>将溶液和样品混合物在室温下放置30</w:t>
      </w:r>
      <w:r>
        <w:rPr>
          <w:rFonts w:hint="eastAsia"/>
          <w:color w:val="000000"/>
          <w:kern w:val="0"/>
          <w:szCs w:val="21"/>
          <w:highlight w:val="none"/>
          <w:lang w:eastAsia="zh-CN" w:bidi="en-US"/>
        </w:rPr>
        <w:t>min</w:t>
      </w:r>
      <w:r>
        <w:rPr>
          <w:color w:val="000000"/>
          <w:kern w:val="0"/>
          <w:szCs w:val="21"/>
          <w:highlight w:val="none"/>
          <w:lang w:bidi="en-US"/>
        </w:rPr>
        <w:t>（</w:t>
      </w:r>
      <w:r>
        <w:rPr>
          <w:rFonts w:hint="eastAsia" w:ascii="宋体"/>
          <w:szCs w:val="21"/>
        </w:rPr>
        <w:t>层析出来的聚合物将沉淀在溶液中</w:t>
      </w:r>
      <w:r>
        <w:rPr>
          <w:rFonts w:hint="eastAsia" w:ascii="宋体"/>
          <w:szCs w:val="21"/>
          <w:lang w:val="en-US" w:eastAsia="zh-CN"/>
        </w:rPr>
        <w:t>,</w:t>
      </w:r>
      <w:r>
        <w:rPr>
          <w:rFonts w:hint="eastAsia"/>
          <w:color w:val="000000"/>
          <w:kern w:val="0"/>
          <w:szCs w:val="21"/>
          <w:highlight w:val="none"/>
          <w:lang w:val="en-US" w:eastAsia="zh-CN" w:bidi="en-US"/>
        </w:rPr>
        <w:t>析出</w:t>
      </w:r>
      <w:r>
        <w:rPr>
          <w:color w:val="000000"/>
          <w:kern w:val="0"/>
          <w:szCs w:val="21"/>
          <w:highlight w:val="none"/>
          <w:lang w:bidi="en-US"/>
        </w:rPr>
        <w:t>聚合物树脂将沉淀在溶液中），用5A号滤纸过滤。</w:t>
      </w:r>
    </w:p>
    <w:p>
      <w:pPr>
        <w:ind w:left="851" w:leftChars="200" w:hanging="431"/>
        <w:rPr>
          <w:color w:val="000000"/>
          <w:kern w:val="0"/>
          <w:szCs w:val="21"/>
          <w:highlight w:val="none"/>
          <w:lang w:bidi="en-US"/>
        </w:rPr>
      </w:pPr>
      <w:r>
        <w:rPr>
          <w:color w:val="000000"/>
          <w:kern w:val="0"/>
          <w:szCs w:val="21"/>
          <w:highlight w:val="none"/>
          <w:lang w:bidi="en-US"/>
        </w:rPr>
        <w:t>e）</w:t>
      </w:r>
      <w:r>
        <w:rPr>
          <w:color w:val="000000"/>
          <w:kern w:val="0"/>
          <w:szCs w:val="21"/>
          <w:highlight w:val="none"/>
          <w:lang w:bidi="en-US"/>
        </w:rPr>
        <w:tab/>
      </w:r>
      <w:r>
        <w:rPr>
          <w:color w:val="000000"/>
          <w:kern w:val="0"/>
          <w:szCs w:val="21"/>
          <w:highlight w:val="none"/>
          <w:lang w:bidi="en-US"/>
        </w:rPr>
        <w:t>在旋转蒸发器上蒸发圆底烧瓶内的提取液，直到剩下大约10</w:t>
      </w:r>
      <w:r>
        <w:rPr>
          <w:rFonts w:hint="eastAsia"/>
          <w:color w:val="000000"/>
          <w:kern w:val="0"/>
          <w:szCs w:val="21"/>
          <w:highlight w:val="none"/>
          <w:lang w:eastAsia="zh-CN" w:bidi="en-US"/>
        </w:rPr>
        <w:t xml:space="preserve"> mL</w:t>
      </w:r>
      <w:r>
        <w:rPr>
          <w:color w:val="000000"/>
          <w:kern w:val="0"/>
          <w:szCs w:val="21"/>
          <w:highlight w:val="none"/>
          <w:lang w:bidi="en-US"/>
        </w:rPr>
        <w:t>。</w:t>
      </w:r>
    </w:p>
    <w:p>
      <w:pPr>
        <w:ind w:left="851" w:leftChars="200" w:hanging="431"/>
        <w:rPr>
          <w:color w:val="000000"/>
          <w:kern w:val="0"/>
          <w:szCs w:val="21"/>
          <w:highlight w:val="none"/>
          <w:lang w:bidi="en-US"/>
        </w:rPr>
      </w:pPr>
      <w:r>
        <w:rPr>
          <w:color w:val="000000"/>
          <w:kern w:val="0"/>
          <w:szCs w:val="21"/>
          <w:highlight w:val="none"/>
          <w:lang w:bidi="en-US"/>
        </w:rPr>
        <w:t>f）</w:t>
      </w:r>
      <w:r>
        <w:rPr>
          <w:color w:val="000000"/>
          <w:kern w:val="0"/>
          <w:szCs w:val="21"/>
          <w:highlight w:val="none"/>
          <w:lang w:bidi="en-US"/>
        </w:rPr>
        <w:tab/>
      </w:r>
      <w:r>
        <w:rPr>
          <w:color w:val="000000"/>
          <w:kern w:val="0"/>
          <w:szCs w:val="21"/>
          <w:highlight w:val="none"/>
          <w:lang w:bidi="en-US"/>
        </w:rPr>
        <w:t>将内容物转移到20</w:t>
      </w:r>
      <w:r>
        <w:rPr>
          <w:rFonts w:hint="eastAsia"/>
          <w:color w:val="000000"/>
          <w:kern w:val="0"/>
          <w:szCs w:val="21"/>
          <w:highlight w:val="none"/>
          <w:lang w:eastAsia="zh-CN" w:bidi="en-US"/>
        </w:rPr>
        <w:t xml:space="preserve"> mL容量瓶</w:t>
      </w:r>
      <w:r>
        <w:rPr>
          <w:color w:val="000000"/>
          <w:kern w:val="0"/>
          <w:szCs w:val="21"/>
          <w:highlight w:val="none"/>
          <w:lang w:bidi="en-US"/>
        </w:rPr>
        <w:t>中，然后用溶剂定容。</w:t>
      </w:r>
    </w:p>
    <w:p>
      <w:pPr>
        <w:ind w:left="851" w:leftChars="200" w:hanging="431"/>
        <w:rPr>
          <w:color w:val="000000"/>
          <w:kern w:val="0"/>
          <w:szCs w:val="21"/>
          <w:lang w:bidi="en-US"/>
        </w:rPr>
      </w:pPr>
      <w:r>
        <w:rPr>
          <w:color w:val="000000"/>
          <w:kern w:val="0"/>
          <w:szCs w:val="21"/>
          <w:highlight w:val="none"/>
          <w:lang w:bidi="en-US"/>
        </w:rPr>
        <w:t>g）</w:t>
      </w:r>
      <w:r>
        <w:rPr>
          <w:color w:val="000000"/>
          <w:kern w:val="0"/>
          <w:szCs w:val="21"/>
          <w:highlight w:val="none"/>
          <w:lang w:bidi="en-US"/>
        </w:rPr>
        <w:tab/>
      </w:r>
      <w:r>
        <w:rPr>
          <w:rFonts w:hint="eastAsia"/>
          <w:color w:val="000000"/>
          <w:kern w:val="0"/>
          <w:szCs w:val="21"/>
          <w:highlight w:val="none"/>
          <w:lang w:val="en-US" w:eastAsia="zh-CN" w:bidi="en-US"/>
        </w:rPr>
        <w:t>f）中溶液过</w:t>
      </w:r>
      <w:r>
        <w:rPr>
          <w:color w:val="000000"/>
          <w:kern w:val="0"/>
          <w:szCs w:val="21"/>
          <w:highlight w:val="none"/>
          <w:lang w:bidi="en-US"/>
        </w:rPr>
        <w:t>0.45μ</w:t>
      </w:r>
      <w:r>
        <w:rPr>
          <w:rFonts w:hint="eastAsia"/>
          <w:color w:val="000000"/>
          <w:kern w:val="0"/>
          <w:szCs w:val="21"/>
          <w:highlight w:val="none"/>
          <w:lang w:val="en-US" w:eastAsia="zh-CN" w:bidi="en-US"/>
        </w:rPr>
        <w:t>m滤膜（6.o)）后制成待测试样，</w:t>
      </w:r>
      <w:r>
        <w:rPr>
          <w:color w:val="000000"/>
          <w:kern w:val="0"/>
          <w:szCs w:val="21"/>
          <w:highlight w:val="none"/>
          <w:lang w:bidi="en-US"/>
        </w:rPr>
        <w:t>完成GC-MS分析。</w:t>
      </w:r>
    </w:p>
    <w:p>
      <w:pPr>
        <w:widowControl/>
        <w:spacing w:before="156" w:beforeLines="50" w:after="156" w:afterLines="50"/>
        <w:jc w:val="left"/>
        <w:outlineLvl w:val="4"/>
        <w:rPr>
          <w:rFonts w:ascii="黑体" w:hAnsi="黑体" w:eastAsia="黑体"/>
          <w:kern w:val="0"/>
          <w:szCs w:val="21"/>
          <w:highlight w:val="none"/>
        </w:rPr>
      </w:pPr>
      <w:bookmarkStart w:id="20" w:name="bookmark9"/>
      <w:r>
        <w:rPr>
          <w:rFonts w:ascii="黑体" w:hAnsi="黑体" w:eastAsia="黑体"/>
          <w:kern w:val="0"/>
          <w:szCs w:val="21"/>
        </w:rPr>
        <w:t>8.2</w:t>
      </w:r>
      <w:r>
        <w:rPr>
          <w:rFonts w:ascii="黑体" w:hAnsi="黑体" w:eastAsia="黑体"/>
          <w:kern w:val="0"/>
          <w:szCs w:val="21"/>
          <w:highlight w:val="none"/>
        </w:rPr>
        <w:t xml:space="preserve">.5 </w:t>
      </w:r>
      <w:r>
        <w:rPr>
          <w:rFonts w:hint="eastAsia" w:ascii="黑体" w:hAnsi="黑体" w:eastAsia="黑体"/>
          <w:kern w:val="0"/>
          <w:szCs w:val="21"/>
          <w:highlight w:val="none"/>
          <w:lang w:val="en-US" w:eastAsia="zh-CN"/>
        </w:rPr>
        <w:t>加入</w:t>
      </w:r>
      <w:r>
        <w:rPr>
          <w:rFonts w:ascii="黑体" w:hAnsi="黑体" w:eastAsia="黑体"/>
          <w:kern w:val="0"/>
          <w:szCs w:val="21"/>
          <w:highlight w:val="none"/>
        </w:rPr>
        <w:t>内标</w:t>
      </w:r>
      <w:r>
        <w:rPr>
          <w:rFonts w:hint="eastAsia" w:ascii="黑体" w:hAnsi="黑体" w:eastAsia="黑体"/>
          <w:kern w:val="0"/>
          <w:szCs w:val="21"/>
          <w:highlight w:val="none"/>
          <w:lang w:val="en-US" w:eastAsia="zh-CN"/>
        </w:rPr>
        <w:t>物</w:t>
      </w:r>
      <w:r>
        <w:rPr>
          <w:rFonts w:ascii="黑体" w:hAnsi="黑体" w:eastAsia="黑体"/>
          <w:kern w:val="0"/>
          <w:szCs w:val="21"/>
          <w:highlight w:val="none"/>
        </w:rPr>
        <w:t>（IS）</w:t>
      </w:r>
      <w:bookmarkEnd w:id="20"/>
    </w:p>
    <w:p>
      <w:pPr>
        <w:ind w:firstLine="420" w:firstLineChars="200"/>
        <w:rPr>
          <w:kern w:val="0"/>
          <w:szCs w:val="21"/>
        </w:rPr>
      </w:pPr>
      <w:r>
        <w:rPr>
          <w:rFonts w:hint="eastAsia"/>
          <w:kern w:val="0"/>
          <w:szCs w:val="21"/>
          <w:highlight w:val="none"/>
          <w:lang w:val="en-US" w:eastAsia="zh-CN"/>
        </w:rPr>
        <w:t>从8.2.3或8.2.4待测试样</w:t>
      </w:r>
      <w:r>
        <w:rPr>
          <w:kern w:val="0"/>
          <w:szCs w:val="21"/>
          <w:highlight w:val="none"/>
        </w:rPr>
        <w:t>和标准</w:t>
      </w:r>
      <w:r>
        <w:rPr>
          <w:rFonts w:hint="eastAsia"/>
          <w:kern w:val="0"/>
          <w:szCs w:val="21"/>
          <w:highlight w:val="none"/>
          <w:lang w:val="en-US" w:eastAsia="zh-CN"/>
        </w:rPr>
        <w:t>溶液中分别准确移取</w:t>
      </w:r>
      <w:r>
        <w:rPr>
          <w:kern w:val="0"/>
          <w:szCs w:val="21"/>
          <w:highlight w:val="none"/>
        </w:rPr>
        <w:t>1</w:t>
      </w:r>
      <w:r>
        <w:rPr>
          <w:rFonts w:hint="eastAsia"/>
          <w:kern w:val="0"/>
          <w:szCs w:val="21"/>
          <w:highlight w:val="none"/>
          <w:lang w:eastAsia="zh-CN"/>
        </w:rPr>
        <w:t xml:space="preserve"> mL</w:t>
      </w:r>
      <w:r>
        <w:rPr>
          <w:rFonts w:hint="eastAsia"/>
          <w:kern w:val="0"/>
          <w:szCs w:val="21"/>
          <w:highlight w:val="none"/>
          <w:lang w:val="en-US" w:eastAsia="zh-CN"/>
        </w:rPr>
        <w:t>溶液</w:t>
      </w:r>
      <w:r>
        <w:rPr>
          <w:kern w:val="0"/>
          <w:szCs w:val="21"/>
          <w:highlight w:val="none"/>
        </w:rPr>
        <w:t>放</w:t>
      </w:r>
      <w:r>
        <w:rPr>
          <w:kern w:val="0"/>
          <w:szCs w:val="21"/>
        </w:rPr>
        <w:t>入相应样品瓶中。</w:t>
      </w:r>
      <w:r>
        <w:rPr>
          <w:rFonts w:hint="eastAsia"/>
          <w:kern w:val="0"/>
          <w:szCs w:val="21"/>
          <w:lang w:val="en-US" w:eastAsia="zh-CN"/>
        </w:rPr>
        <w:t>在每个样品</w:t>
      </w:r>
      <w:r>
        <w:rPr>
          <w:kern w:val="0"/>
          <w:szCs w:val="21"/>
        </w:rPr>
        <w:t>瓶中</w:t>
      </w:r>
      <w:r>
        <w:rPr>
          <w:rFonts w:hint="eastAsia"/>
          <w:kern w:val="0"/>
          <w:szCs w:val="21"/>
          <w:lang w:val="en-US" w:eastAsia="zh-CN"/>
        </w:rPr>
        <w:t>准确</w:t>
      </w:r>
      <w:r>
        <w:rPr>
          <w:kern w:val="0"/>
          <w:szCs w:val="21"/>
        </w:rPr>
        <w:t>加入20</w:t>
      </w:r>
      <w:r>
        <w:rPr>
          <w:rFonts w:hint="eastAsia"/>
          <w:kern w:val="0"/>
          <w:szCs w:val="21"/>
          <w:lang w:val="en-US" w:eastAsia="zh-CN"/>
        </w:rPr>
        <w:t xml:space="preserve"> </w:t>
      </w:r>
      <w:r>
        <w:rPr>
          <w:kern w:val="0"/>
          <w:szCs w:val="21"/>
        </w:rPr>
        <w:t>μ</w:t>
      </w:r>
      <w:r>
        <w:rPr>
          <w:rFonts w:hint="eastAsia"/>
          <w:color w:val="000000"/>
          <w:kern w:val="0"/>
          <w:szCs w:val="21"/>
          <w:lang w:eastAsia="zh-CN" w:bidi="en-US"/>
        </w:rPr>
        <w:t>L</w:t>
      </w:r>
      <w:r>
        <w:rPr>
          <w:kern w:val="0"/>
          <w:szCs w:val="21"/>
        </w:rPr>
        <w:t>的内标溶液（8.2.1）盖上瓶盖</w:t>
      </w:r>
      <w:r>
        <w:rPr>
          <w:rFonts w:hint="eastAsia"/>
          <w:kern w:val="0"/>
          <w:szCs w:val="21"/>
          <w:lang w:eastAsia="zh-CN"/>
        </w:rPr>
        <w:t>，</w:t>
      </w:r>
      <w:r>
        <w:rPr>
          <w:rFonts w:hint="eastAsia"/>
          <w:kern w:val="0"/>
          <w:szCs w:val="21"/>
          <w:lang w:val="en-US" w:eastAsia="zh-CN"/>
        </w:rPr>
        <w:t>颠倒</w:t>
      </w:r>
      <w:r>
        <w:rPr>
          <w:kern w:val="0"/>
          <w:szCs w:val="21"/>
        </w:rPr>
        <w:t>两次，混合</w:t>
      </w:r>
      <w:r>
        <w:rPr>
          <w:rFonts w:hint="eastAsia"/>
          <w:kern w:val="0"/>
          <w:szCs w:val="21"/>
          <w:lang w:val="en-US" w:eastAsia="zh-CN"/>
        </w:rPr>
        <w:t>均匀待测</w:t>
      </w:r>
      <w:r>
        <w:rPr>
          <w:kern w:val="0"/>
          <w:szCs w:val="21"/>
        </w:rPr>
        <w:t>。</w:t>
      </w:r>
    </w:p>
    <w:p>
      <w:pPr>
        <w:ind w:firstLine="420" w:firstLineChars="200"/>
        <w:rPr>
          <w:kern w:val="0"/>
          <w:szCs w:val="21"/>
        </w:rPr>
      </w:pPr>
      <w:r>
        <w:rPr>
          <w:kern w:val="0"/>
          <w:szCs w:val="21"/>
        </w:rPr>
        <w:t>将1 μ</w:t>
      </w:r>
      <w:r>
        <w:rPr>
          <w:rFonts w:hint="eastAsia"/>
          <w:color w:val="000000"/>
          <w:kern w:val="0"/>
          <w:szCs w:val="21"/>
          <w:lang w:eastAsia="zh-CN" w:bidi="en-US"/>
        </w:rPr>
        <w:t>L</w:t>
      </w:r>
      <w:r>
        <w:rPr>
          <w:rFonts w:hint="eastAsia"/>
          <w:color w:val="000000"/>
          <w:kern w:val="0"/>
          <w:szCs w:val="21"/>
          <w:lang w:val="en-US" w:eastAsia="zh-CN" w:bidi="en-US"/>
        </w:rPr>
        <w:t>待测样品</w:t>
      </w:r>
      <w:r>
        <w:rPr>
          <w:kern w:val="0"/>
          <w:szCs w:val="21"/>
        </w:rPr>
        <w:t>注入GC-MS，根据8.3所述</w:t>
      </w:r>
      <w:r>
        <w:rPr>
          <w:rFonts w:hint="eastAsia"/>
          <w:kern w:val="0"/>
          <w:szCs w:val="21"/>
          <w:lang w:val="en-US" w:eastAsia="zh-CN"/>
        </w:rPr>
        <w:t>条件</w:t>
      </w:r>
      <w:r>
        <w:rPr>
          <w:kern w:val="0"/>
          <w:szCs w:val="21"/>
        </w:rPr>
        <w:t>进行分析。</w:t>
      </w:r>
    </w:p>
    <w:p>
      <w:pPr>
        <w:pStyle w:val="47"/>
        <w:rPr>
          <w:rFonts w:hint="eastAsia" w:eastAsia="黑体"/>
          <w:lang w:eastAsia="zh-CN"/>
        </w:rPr>
      </w:pPr>
      <w:bookmarkStart w:id="21" w:name="bookmark10"/>
      <w:r>
        <w:t>8.3 仪器</w:t>
      </w:r>
      <w:bookmarkEnd w:id="21"/>
      <w:r>
        <w:rPr>
          <w:rFonts w:hint="eastAsia"/>
          <w:lang w:val="en-US" w:eastAsia="zh-CN"/>
        </w:rPr>
        <w:t>条件</w:t>
      </w:r>
    </w:p>
    <w:p>
      <w:pPr>
        <w:ind w:firstLine="420" w:firstLineChars="200"/>
        <w:rPr>
          <w:rFonts w:hint="eastAsia" w:ascii="宋体"/>
          <w:szCs w:val="21"/>
          <w:highlight w:val="none"/>
        </w:rPr>
      </w:pPr>
      <w:r>
        <w:rPr>
          <w:rFonts w:hint="eastAsia" w:ascii="宋体"/>
          <w:szCs w:val="21"/>
          <w:highlight w:val="none"/>
        </w:rPr>
        <w:t>为了有效分离</w:t>
      </w:r>
      <w:r>
        <w:rPr>
          <w:color w:val="000000"/>
          <w:kern w:val="0"/>
          <w:szCs w:val="21"/>
          <w:highlight w:val="none"/>
          <w:lang w:bidi="en-US"/>
        </w:rPr>
        <w:t>HBCDD</w:t>
      </w:r>
      <w:r>
        <w:rPr>
          <w:rFonts w:hint="eastAsia" w:ascii="宋体"/>
          <w:szCs w:val="21"/>
          <w:highlight w:val="none"/>
          <w:lang w:val="en-US" w:eastAsia="zh-CN"/>
        </w:rPr>
        <w:t>同分异构体</w:t>
      </w:r>
      <w:r>
        <w:rPr>
          <w:rFonts w:hint="eastAsia" w:ascii="宋体"/>
          <w:szCs w:val="21"/>
          <w:highlight w:val="none"/>
        </w:rPr>
        <w:t>，并满足质量控制（Q</w:t>
      </w:r>
      <w:r>
        <w:rPr>
          <w:rFonts w:ascii="宋体"/>
          <w:szCs w:val="21"/>
          <w:highlight w:val="none"/>
        </w:rPr>
        <w:t>C</w:t>
      </w:r>
      <w:r>
        <w:rPr>
          <w:rFonts w:hint="eastAsia" w:ascii="宋体"/>
          <w:szCs w:val="21"/>
          <w:highlight w:val="none"/>
        </w:rPr>
        <w:t>）和方法检出限（M</w:t>
      </w:r>
      <w:r>
        <w:rPr>
          <w:rFonts w:ascii="宋体"/>
          <w:szCs w:val="21"/>
          <w:highlight w:val="none"/>
        </w:rPr>
        <w:t>DL</w:t>
      </w:r>
      <w:r>
        <w:rPr>
          <w:rFonts w:hint="eastAsia" w:ascii="宋体"/>
          <w:szCs w:val="21"/>
          <w:highlight w:val="none"/>
        </w:rPr>
        <w:t>）的要求，对于某一具体的G</w:t>
      </w:r>
      <w:r>
        <w:rPr>
          <w:rFonts w:ascii="宋体"/>
          <w:szCs w:val="21"/>
          <w:highlight w:val="none"/>
        </w:rPr>
        <w:t>C-MS</w:t>
      </w:r>
      <w:r>
        <w:rPr>
          <w:rFonts w:hint="eastAsia" w:ascii="宋体"/>
          <w:szCs w:val="21"/>
          <w:highlight w:val="none"/>
        </w:rPr>
        <w:t>系统，可能需要采用不同的条件进行优化。下列给出的参数经证明是可行的例子:</w:t>
      </w:r>
    </w:p>
    <w:p>
      <w:pPr>
        <w:numPr>
          <w:ilvl w:val="0"/>
          <w:numId w:val="19"/>
        </w:numPr>
        <w:ind w:left="851" w:leftChars="200" w:hanging="431"/>
        <w:rPr>
          <w:color w:val="000000"/>
          <w:kern w:val="0"/>
          <w:szCs w:val="21"/>
          <w:lang w:bidi="en-US"/>
        </w:rPr>
      </w:pPr>
      <w:r>
        <w:rPr>
          <w:color w:val="000000"/>
          <w:kern w:val="0"/>
          <w:szCs w:val="21"/>
          <w:lang w:bidi="en-US"/>
        </w:rPr>
        <w:t>GC柱：非极性（</w:t>
      </w:r>
      <w:r>
        <w:rPr>
          <w:rFonts w:hint="eastAsia" w:ascii="宋体"/>
          <w:szCs w:val="21"/>
        </w:rPr>
        <w:t>苯基-亚芳基聚合物，等同于5%苯基-甲基-聚硅氧烷</w:t>
      </w:r>
      <w:r>
        <w:rPr>
          <w:color w:val="000000"/>
          <w:kern w:val="0"/>
          <w:szCs w:val="21"/>
          <w:lang w:bidi="en-US"/>
        </w:rPr>
        <w:t>），长30 m；内径0.25 mm；膜厚0.25</w:t>
      </w:r>
      <w:r>
        <w:rPr>
          <w:rFonts w:hint="eastAsia"/>
          <w:color w:val="000000"/>
          <w:kern w:val="0"/>
          <w:szCs w:val="21"/>
          <w:lang w:val="en-US" w:eastAsia="zh-CN" w:bidi="en-US"/>
        </w:rPr>
        <w:t xml:space="preserve"> </w:t>
      </w:r>
      <w:r>
        <w:rPr>
          <w:color w:val="000000"/>
          <w:kern w:val="0"/>
          <w:szCs w:val="21"/>
          <w:lang w:bidi="en-US"/>
        </w:rPr>
        <w:t>μ</w:t>
      </w:r>
      <w:r>
        <w:rPr>
          <w:rFonts w:hint="eastAsia"/>
          <w:color w:val="000000"/>
          <w:kern w:val="0"/>
          <w:szCs w:val="21"/>
          <w:lang w:val="en-US" w:eastAsia="zh-CN" w:bidi="en-US"/>
        </w:rPr>
        <w:t>m</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rFonts w:hint="eastAsia"/>
          <w:color w:val="000000"/>
          <w:kern w:val="0"/>
          <w:szCs w:val="21"/>
          <w:lang w:val="en-US" w:eastAsia="zh-CN" w:bidi="en-US"/>
        </w:rPr>
        <w:t>进样</w:t>
      </w:r>
      <w:r>
        <w:rPr>
          <w:color w:val="000000"/>
          <w:kern w:val="0"/>
          <w:szCs w:val="21"/>
          <w:lang w:bidi="en-US"/>
        </w:rPr>
        <w:t>衬管：4 mm单锥玻璃衬管，玻璃棉（已去活）；</w:t>
      </w:r>
    </w:p>
    <w:p>
      <w:pPr>
        <w:ind w:left="851" w:leftChars="200" w:hanging="431"/>
        <w:rPr>
          <w:color w:val="000000"/>
          <w:kern w:val="0"/>
          <w:szCs w:val="21"/>
          <w:highlight w:val="none"/>
          <w:lang w:bidi="en-US"/>
        </w:rPr>
      </w:pPr>
      <w:r>
        <w:rPr>
          <w:color w:val="000000"/>
          <w:kern w:val="0"/>
          <w:szCs w:val="21"/>
          <w:lang w:bidi="en-US"/>
        </w:rPr>
        <w:t>c）</w:t>
      </w:r>
      <w:r>
        <w:rPr>
          <w:color w:val="000000"/>
          <w:kern w:val="0"/>
          <w:szCs w:val="21"/>
          <w:lang w:bidi="en-US"/>
        </w:rPr>
        <w:tab/>
      </w:r>
      <w:r>
        <w:rPr>
          <w:color w:val="000000"/>
          <w:kern w:val="0"/>
          <w:szCs w:val="21"/>
          <w:lang w:bidi="en-US"/>
        </w:rPr>
        <w:t>载</w:t>
      </w:r>
      <w:r>
        <w:rPr>
          <w:rFonts w:hint="eastAsia"/>
          <w:color w:val="000000"/>
          <w:kern w:val="0"/>
          <w:szCs w:val="21"/>
          <w:lang w:val="en-US" w:eastAsia="zh-CN" w:bidi="en-US"/>
        </w:rPr>
        <w:t>气</w:t>
      </w:r>
      <w:r>
        <w:rPr>
          <w:color w:val="000000"/>
          <w:kern w:val="0"/>
          <w:szCs w:val="21"/>
          <w:lang w:bidi="en-US"/>
        </w:rPr>
        <w:t>：</w:t>
      </w:r>
      <w:r>
        <w:rPr>
          <w:rFonts w:hint="eastAsia" w:ascii="Times New Roman" w:hAnsi="Times New Roman"/>
          <w:szCs w:val="21"/>
        </w:rPr>
        <w:t>氦气（</w:t>
      </w:r>
      <w:r>
        <w:rPr>
          <w:rFonts w:hint="eastAsia" w:ascii="Times New Roman" w:hAnsi="Times New Roman"/>
          <w:szCs w:val="21"/>
          <w:highlight w:val="none"/>
        </w:rPr>
        <w:t>5</w:t>
      </w:r>
      <w:r>
        <w:rPr>
          <w:rFonts w:hint="eastAsia"/>
          <w:szCs w:val="21"/>
          <w:highlight w:val="none"/>
          <w:lang w:val="en-US" w:eastAsia="zh-CN"/>
        </w:rPr>
        <w:t>.</w:t>
      </w:r>
      <w:r>
        <w:rPr>
          <w:rFonts w:hint="eastAsia" w:ascii="Times New Roman" w:hAnsi="Times New Roman"/>
          <w:szCs w:val="21"/>
          <w:highlight w:val="none"/>
        </w:rPr>
        <w:t>g））</w:t>
      </w:r>
      <w:r>
        <w:rPr>
          <w:color w:val="000000"/>
          <w:kern w:val="0"/>
          <w:szCs w:val="21"/>
          <w:highlight w:val="none"/>
          <w:lang w:bidi="en-US"/>
        </w:rPr>
        <w:t>，1.0</w:t>
      </w:r>
      <w:r>
        <w:rPr>
          <w:rFonts w:hint="eastAsia"/>
          <w:color w:val="000000"/>
          <w:kern w:val="0"/>
          <w:szCs w:val="21"/>
          <w:highlight w:val="none"/>
          <w:lang w:eastAsia="zh-CN" w:bidi="en-US"/>
        </w:rPr>
        <w:t xml:space="preserve"> mL</w:t>
      </w:r>
      <w:r>
        <w:rPr>
          <w:color w:val="000000"/>
          <w:kern w:val="0"/>
          <w:szCs w:val="21"/>
          <w:highlight w:val="none"/>
          <w:lang w:bidi="en-US"/>
        </w:rPr>
        <w:t>/</w:t>
      </w:r>
      <w:r>
        <w:rPr>
          <w:rFonts w:hint="eastAsia"/>
          <w:color w:val="000000"/>
          <w:kern w:val="0"/>
          <w:szCs w:val="21"/>
          <w:highlight w:val="none"/>
          <w:lang w:val="en-US" w:eastAsia="zh-CN" w:bidi="en-US"/>
        </w:rPr>
        <w:t>min</w:t>
      </w:r>
      <w:r>
        <w:rPr>
          <w:color w:val="000000"/>
          <w:kern w:val="0"/>
          <w:szCs w:val="21"/>
          <w:highlight w:val="none"/>
          <w:lang w:bidi="en-US"/>
        </w:rPr>
        <w:t>，恒流；</w:t>
      </w:r>
    </w:p>
    <w:p>
      <w:pPr>
        <w:ind w:left="851" w:leftChars="200" w:hanging="431"/>
        <w:rPr>
          <w:color w:val="000000"/>
          <w:kern w:val="0"/>
          <w:szCs w:val="21"/>
          <w:highlight w:val="none"/>
          <w:lang w:bidi="en-US"/>
        </w:rPr>
      </w:pPr>
      <w:r>
        <w:rPr>
          <w:color w:val="000000"/>
          <w:kern w:val="0"/>
          <w:szCs w:val="21"/>
          <w:highlight w:val="none"/>
          <w:lang w:bidi="en-US"/>
        </w:rPr>
        <w:t>d）</w:t>
      </w:r>
      <w:r>
        <w:rPr>
          <w:color w:val="000000"/>
          <w:kern w:val="0"/>
          <w:szCs w:val="21"/>
          <w:highlight w:val="none"/>
          <w:lang w:bidi="en-US"/>
        </w:rPr>
        <w:tab/>
      </w:r>
      <w:r>
        <w:rPr>
          <w:rFonts w:hint="eastAsia"/>
          <w:color w:val="000000"/>
          <w:kern w:val="0"/>
          <w:szCs w:val="21"/>
          <w:highlight w:val="none"/>
          <w:lang w:val="en-US" w:eastAsia="zh-CN" w:bidi="en-US"/>
        </w:rPr>
        <w:t>柱温</w:t>
      </w:r>
      <w:r>
        <w:rPr>
          <w:color w:val="000000"/>
          <w:kern w:val="0"/>
          <w:szCs w:val="21"/>
          <w:highlight w:val="none"/>
          <w:lang w:bidi="en-US"/>
        </w:rPr>
        <w:t xml:space="preserve">箱：70℃ </w:t>
      </w:r>
      <w:r>
        <w:rPr>
          <w:rFonts w:hint="eastAsia"/>
          <w:color w:val="000000"/>
          <w:kern w:val="0"/>
          <w:szCs w:val="21"/>
          <w:highlight w:val="none"/>
          <w:lang w:val="en-US" w:eastAsia="zh-CN" w:bidi="en-US"/>
        </w:rPr>
        <w:t>保持</w:t>
      </w:r>
      <w:r>
        <w:rPr>
          <w:color w:val="000000"/>
          <w:kern w:val="0"/>
          <w:szCs w:val="21"/>
          <w:highlight w:val="none"/>
          <w:lang w:bidi="en-US"/>
        </w:rPr>
        <w:t>2</w:t>
      </w:r>
      <w:r>
        <w:rPr>
          <w:rFonts w:hint="eastAsia"/>
          <w:color w:val="000000"/>
          <w:kern w:val="0"/>
          <w:szCs w:val="21"/>
          <w:highlight w:val="none"/>
          <w:lang w:eastAsia="zh-CN" w:bidi="en-US"/>
        </w:rPr>
        <w:t>min</w:t>
      </w:r>
      <w:r>
        <w:rPr>
          <w:color w:val="000000"/>
          <w:kern w:val="0"/>
          <w:szCs w:val="21"/>
          <w:highlight w:val="none"/>
          <w:lang w:bidi="en-US"/>
        </w:rPr>
        <w:t>，20℃/</w:t>
      </w:r>
      <w:r>
        <w:rPr>
          <w:rFonts w:hint="eastAsia"/>
          <w:color w:val="000000"/>
          <w:kern w:val="0"/>
          <w:szCs w:val="21"/>
          <w:highlight w:val="none"/>
          <w:lang w:eastAsia="zh-CN" w:bidi="en-US"/>
        </w:rPr>
        <w:t>min</w:t>
      </w:r>
      <w:r>
        <w:rPr>
          <w:rFonts w:hint="eastAsia"/>
          <w:color w:val="000000"/>
          <w:kern w:val="0"/>
          <w:szCs w:val="21"/>
          <w:highlight w:val="none"/>
          <w:lang w:val="en-US" w:eastAsia="zh-CN" w:bidi="en-US"/>
        </w:rPr>
        <w:t>升温</w:t>
      </w:r>
      <w:r>
        <w:rPr>
          <w:color w:val="000000"/>
          <w:kern w:val="0"/>
          <w:szCs w:val="21"/>
          <w:highlight w:val="none"/>
          <w:lang w:bidi="en-US"/>
        </w:rPr>
        <w:t>至300℃，持续5</w:t>
      </w:r>
      <w:r>
        <w:rPr>
          <w:rFonts w:hint="eastAsia"/>
          <w:color w:val="000000"/>
          <w:kern w:val="0"/>
          <w:szCs w:val="21"/>
          <w:highlight w:val="none"/>
          <w:lang w:eastAsia="zh-CN" w:bidi="en-US"/>
        </w:rPr>
        <w:t>min</w:t>
      </w:r>
      <w:r>
        <w:rPr>
          <w:color w:val="000000"/>
          <w:kern w:val="0"/>
          <w:szCs w:val="21"/>
          <w:highlight w:val="none"/>
          <w:lang w:bidi="en-US"/>
        </w:rPr>
        <w:t>；</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进样温度：250 °C；</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rFonts w:hint="eastAsia"/>
          <w:color w:val="000000"/>
          <w:kern w:val="0"/>
          <w:szCs w:val="21"/>
          <w:lang w:val="en-US" w:eastAsia="zh-CN" w:bidi="en-US"/>
        </w:rPr>
        <w:t>传输</w:t>
      </w:r>
      <w:r>
        <w:rPr>
          <w:color w:val="000000"/>
          <w:kern w:val="0"/>
          <w:szCs w:val="21"/>
          <w:lang w:bidi="en-US"/>
        </w:rPr>
        <w:t>线：300 °C；</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color w:val="000000"/>
          <w:kern w:val="0"/>
          <w:szCs w:val="21"/>
          <w:lang w:bidi="en-US"/>
        </w:rPr>
        <w:t>进样量：1</w:t>
      </w:r>
      <w:r>
        <w:rPr>
          <w:rFonts w:hint="eastAsia"/>
          <w:color w:val="000000"/>
          <w:kern w:val="0"/>
          <w:szCs w:val="21"/>
          <w:lang w:val="en-US" w:eastAsia="zh-CN" w:bidi="en-US"/>
        </w:rPr>
        <w:t xml:space="preserve"> </w:t>
      </w:r>
      <w:r>
        <w:rPr>
          <w:kern w:val="0"/>
          <w:szCs w:val="21"/>
        </w:rPr>
        <w:t>μ</w:t>
      </w:r>
      <w:r>
        <w:rPr>
          <w:rFonts w:hint="eastAsia"/>
          <w:color w:val="000000"/>
          <w:kern w:val="0"/>
          <w:szCs w:val="21"/>
          <w:lang w:eastAsia="zh-CN" w:bidi="en-US"/>
        </w:rPr>
        <w:t>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h）</w:t>
      </w:r>
      <w:r>
        <w:rPr>
          <w:color w:val="000000"/>
          <w:kern w:val="0"/>
          <w:szCs w:val="21"/>
          <w:lang w:bidi="en-US"/>
        </w:rPr>
        <w:tab/>
      </w:r>
      <w:r>
        <w:rPr>
          <w:color w:val="000000"/>
          <w:kern w:val="0"/>
          <w:szCs w:val="21"/>
          <w:lang w:bidi="en-US"/>
        </w:rPr>
        <w:t>进样模式：分流（10:1）；</w:t>
      </w:r>
    </w:p>
    <w:p>
      <w:pPr>
        <w:ind w:left="851" w:leftChars="200" w:hanging="431"/>
        <w:rPr>
          <w:color w:val="000000"/>
          <w:kern w:val="0"/>
          <w:szCs w:val="21"/>
          <w:lang w:bidi="en-US"/>
        </w:rPr>
      </w:pPr>
      <w:r>
        <w:rPr>
          <w:color w:val="000000"/>
          <w:kern w:val="0"/>
          <w:szCs w:val="21"/>
          <w:lang w:bidi="en-US"/>
        </w:rPr>
        <w:t>i）</w:t>
      </w:r>
      <w:r>
        <w:rPr>
          <w:color w:val="000000"/>
          <w:kern w:val="0"/>
          <w:szCs w:val="21"/>
          <w:lang w:bidi="en-US"/>
        </w:rPr>
        <w:tab/>
      </w:r>
      <w:r>
        <w:rPr>
          <w:color w:val="000000"/>
          <w:kern w:val="0"/>
          <w:szCs w:val="21"/>
          <w:lang w:bidi="en-US"/>
        </w:rPr>
        <w:t>电离方法：电子电离（El）；</w:t>
      </w:r>
    </w:p>
    <w:p>
      <w:pPr>
        <w:ind w:left="851" w:leftChars="200" w:hanging="431"/>
        <w:rPr>
          <w:color w:val="000000"/>
          <w:kern w:val="0"/>
          <w:szCs w:val="21"/>
          <w:lang w:bidi="en-US"/>
        </w:rPr>
      </w:pPr>
      <w:r>
        <w:rPr>
          <w:color w:val="000000"/>
          <w:kern w:val="0"/>
          <w:szCs w:val="21"/>
          <w:lang w:bidi="en-US"/>
        </w:rPr>
        <w:t>j）</w:t>
      </w:r>
      <w:r>
        <w:rPr>
          <w:color w:val="000000"/>
          <w:kern w:val="0"/>
          <w:szCs w:val="21"/>
          <w:lang w:bidi="en-US"/>
        </w:rPr>
        <w:tab/>
      </w:r>
      <w:r>
        <w:rPr>
          <w:color w:val="000000"/>
          <w:kern w:val="0"/>
          <w:szCs w:val="21"/>
          <w:lang w:bidi="en-US"/>
        </w:rPr>
        <w:t>溶剂延迟时间：4</w:t>
      </w:r>
      <w:r>
        <w:rPr>
          <w:rFonts w:hint="eastAsia"/>
          <w:color w:val="000000"/>
          <w:kern w:val="0"/>
          <w:szCs w:val="21"/>
          <w:lang w:eastAsia="zh-CN" w:bidi="en-US"/>
        </w:rPr>
        <w:t>min</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k）</w:t>
      </w:r>
      <w:r>
        <w:rPr>
          <w:color w:val="000000"/>
          <w:kern w:val="0"/>
          <w:szCs w:val="21"/>
          <w:lang w:bidi="en-US"/>
        </w:rPr>
        <w:tab/>
      </w:r>
      <w:r>
        <w:rPr>
          <w:color w:val="000000"/>
          <w:kern w:val="0"/>
          <w:szCs w:val="21"/>
          <w:lang w:bidi="en-US"/>
        </w:rPr>
        <w:t>离子源温度：250 °C；</w:t>
      </w:r>
    </w:p>
    <w:p>
      <w:pPr>
        <w:ind w:left="851" w:leftChars="200" w:hanging="431"/>
        <w:rPr>
          <w:color w:val="000000"/>
          <w:kern w:val="0"/>
          <w:szCs w:val="21"/>
          <w:lang w:bidi="en-US"/>
        </w:rPr>
      </w:pPr>
      <w:r>
        <w:rPr>
          <w:color w:val="000000"/>
          <w:kern w:val="0"/>
          <w:szCs w:val="21"/>
          <w:lang w:bidi="en-US"/>
        </w:rPr>
        <w:t>l）</w:t>
      </w:r>
      <w:r>
        <w:rPr>
          <w:color w:val="000000"/>
          <w:kern w:val="0"/>
          <w:szCs w:val="21"/>
          <w:lang w:bidi="en-US"/>
        </w:rPr>
        <w:tab/>
      </w:r>
      <w:r>
        <w:rPr>
          <w:color w:val="000000"/>
          <w:kern w:val="0"/>
          <w:szCs w:val="21"/>
          <w:lang w:bidi="en-US"/>
        </w:rPr>
        <w:t>扫描范围：50 m/z ~ 1000</w:t>
      </w:r>
      <w:r>
        <w:rPr>
          <w:rFonts w:hint="eastAsia"/>
          <w:color w:val="000000"/>
          <w:kern w:val="0"/>
          <w:szCs w:val="21"/>
          <w:lang w:val="en-US" w:eastAsia="zh-CN" w:bidi="en-US"/>
        </w:rPr>
        <w:t xml:space="preserve"> </w:t>
      </w:r>
      <w:r>
        <w:rPr>
          <w:color w:val="000000"/>
          <w:kern w:val="0"/>
          <w:szCs w:val="21"/>
          <w:lang w:bidi="en-US"/>
        </w:rPr>
        <w:t>m/z ；</w:t>
      </w:r>
    </w:p>
    <w:p>
      <w:pPr>
        <w:ind w:left="851" w:leftChars="200" w:hanging="431"/>
        <w:rPr>
          <w:color w:val="000000"/>
          <w:kern w:val="0"/>
          <w:szCs w:val="21"/>
          <w:lang w:bidi="en-US"/>
        </w:rPr>
      </w:pPr>
      <w:r>
        <w:rPr>
          <w:color w:val="000000"/>
          <w:kern w:val="0"/>
          <w:szCs w:val="21"/>
          <w:lang w:bidi="en-US"/>
        </w:rPr>
        <w:t>m）</w:t>
      </w:r>
      <w:r>
        <w:rPr>
          <w:color w:val="000000"/>
          <w:kern w:val="0"/>
          <w:szCs w:val="21"/>
          <w:lang w:bidi="en-US"/>
        </w:rPr>
        <w:tab/>
      </w:r>
      <w:r>
        <w:rPr>
          <w:color w:val="000000"/>
          <w:kern w:val="0"/>
          <w:szCs w:val="21"/>
          <w:lang w:bidi="en-US"/>
        </w:rPr>
        <w:t>停留时间：80 ms。</w:t>
      </w:r>
    </w:p>
    <w:p>
      <w:pPr>
        <w:ind w:firstLine="420" w:firstLineChars="200"/>
        <w:rPr>
          <w:kern w:val="0"/>
          <w:szCs w:val="21"/>
        </w:rPr>
      </w:pPr>
      <w:r>
        <w:rPr>
          <w:kern w:val="0"/>
          <w:szCs w:val="21"/>
        </w:rPr>
        <w:t>表2</w:t>
      </w:r>
      <w:r>
        <w:rPr>
          <w:rFonts w:hint="eastAsia"/>
          <w:kern w:val="0"/>
          <w:szCs w:val="21"/>
          <w:lang w:val="en-US" w:eastAsia="zh-CN"/>
        </w:rPr>
        <w:t>给出</w:t>
      </w:r>
      <w:r>
        <w:rPr>
          <w:kern w:val="0"/>
          <w:szCs w:val="21"/>
        </w:rPr>
        <w:t>了HBCDD定性和定量离子的参考质量</w:t>
      </w:r>
      <w:r>
        <w:rPr>
          <w:rFonts w:hint="eastAsia"/>
          <w:kern w:val="0"/>
          <w:szCs w:val="21"/>
          <w:lang w:val="en-US" w:eastAsia="zh-CN"/>
        </w:rPr>
        <w:t>数</w:t>
      </w:r>
      <w:r>
        <w:rPr>
          <w:kern w:val="0"/>
          <w:szCs w:val="21"/>
        </w:rPr>
        <w:t>。</w:t>
      </w:r>
    </w:p>
    <w:p>
      <w:pPr>
        <w:spacing w:before="156" w:beforeLines="50" w:after="156" w:afterLines="50"/>
        <w:jc w:val="center"/>
        <w:rPr>
          <w:rFonts w:hint="eastAsia" w:eastAsia="宋体"/>
          <w:b/>
          <w:bCs/>
          <w:szCs w:val="21"/>
          <w:lang w:val="en-US" w:eastAsia="zh-CN"/>
        </w:rPr>
      </w:pPr>
      <w:r>
        <w:rPr>
          <w:b/>
          <w:bCs/>
          <w:szCs w:val="21"/>
        </w:rPr>
        <w:t>表2</w:t>
      </w:r>
      <w:r>
        <w:rPr>
          <w:rFonts w:hint="eastAsia"/>
          <w:b/>
          <w:bCs/>
          <w:szCs w:val="21"/>
          <w:lang w:val="en-US" w:eastAsia="zh-CN"/>
        </w:rPr>
        <w:t xml:space="preserve"> </w:t>
      </w:r>
      <w:r>
        <w:rPr>
          <w:b/>
          <w:bCs/>
          <w:szCs w:val="21"/>
        </w:rPr>
        <w:t>HBCDD定量参考质量</w:t>
      </w:r>
      <w:r>
        <w:rPr>
          <w:rFonts w:hint="eastAsia"/>
          <w:b/>
          <w:bCs/>
          <w:szCs w:val="21"/>
          <w:lang w:val="en-US" w:eastAsia="zh-CN"/>
        </w:rPr>
        <w:t>数</w:t>
      </w:r>
    </w:p>
    <w:tbl>
      <w:tblPr>
        <w:tblStyle w:val="37"/>
        <w:tblW w:w="9468" w:type="dxa"/>
        <w:tblInd w:w="0" w:type="dxa"/>
        <w:tblLayout w:type="fixed"/>
        <w:tblCellMar>
          <w:top w:w="0" w:type="dxa"/>
          <w:left w:w="57" w:type="dxa"/>
          <w:bottom w:w="0" w:type="dxa"/>
          <w:right w:w="57" w:type="dxa"/>
        </w:tblCellMar>
      </w:tblPr>
      <w:tblGrid>
        <w:gridCol w:w="1584"/>
        <w:gridCol w:w="3936"/>
        <w:gridCol w:w="3948"/>
      </w:tblGrid>
      <w:tr>
        <w:tblPrEx>
          <w:tblCellMar>
            <w:top w:w="0" w:type="dxa"/>
            <w:left w:w="57" w:type="dxa"/>
            <w:bottom w:w="0" w:type="dxa"/>
            <w:right w:w="57" w:type="dxa"/>
          </w:tblCellMar>
        </w:tblPrEx>
        <w:tc>
          <w:tcPr>
            <w:tcW w:w="1584" w:type="dxa"/>
            <w:tcBorders>
              <w:top w:val="single" w:color="auto" w:sz="4" w:space="0"/>
              <w:left w:val="single" w:color="auto" w:sz="4" w:space="0"/>
            </w:tcBorders>
            <w:shd w:val="clear" w:color="auto" w:fill="FFFFFF"/>
            <w:vAlign w:val="center"/>
          </w:tcPr>
          <w:p>
            <w:pPr>
              <w:jc w:val="center"/>
              <w:rPr>
                <w:rFonts w:eastAsia="Microsoft JhengHei Light"/>
                <w:color w:val="000000"/>
                <w:kern w:val="0"/>
                <w:szCs w:val="21"/>
                <w:lang w:bidi="en-US"/>
              </w:rPr>
            </w:pPr>
          </w:p>
        </w:tc>
        <w:tc>
          <w:tcPr>
            <w:tcW w:w="3936"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定性离子</w:t>
            </w:r>
          </w:p>
          <w:p>
            <w:pPr>
              <w:jc w:val="center"/>
              <w:rPr>
                <w:color w:val="000000"/>
                <w:kern w:val="0"/>
                <w:szCs w:val="21"/>
                <w:lang w:bidi="en-US"/>
              </w:rPr>
            </w:pPr>
            <w:r>
              <w:rPr>
                <w:color w:val="000000"/>
                <w:kern w:val="0"/>
                <w:szCs w:val="21"/>
                <w:lang w:bidi="en-US"/>
              </w:rPr>
              <w:t>（m/z）</w:t>
            </w:r>
          </w:p>
        </w:tc>
        <w:tc>
          <w:tcPr>
            <w:tcW w:w="3948" w:type="dxa"/>
            <w:tcBorders>
              <w:top w:val="single" w:color="auto" w:sz="4" w:space="0"/>
              <w:left w:val="single" w:color="auto" w:sz="4" w:space="0"/>
              <w:righ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定量离子</w:t>
            </w:r>
          </w:p>
          <w:p>
            <w:pPr>
              <w:jc w:val="center"/>
              <w:rPr>
                <w:color w:val="000000"/>
                <w:kern w:val="0"/>
                <w:szCs w:val="21"/>
                <w:lang w:bidi="en-US"/>
              </w:rPr>
            </w:pPr>
            <w:r>
              <w:rPr>
                <w:color w:val="000000"/>
                <w:kern w:val="0"/>
                <w:szCs w:val="21"/>
                <w:lang w:bidi="en-US"/>
              </w:rPr>
              <w:t>（m/z）</w:t>
            </w:r>
          </w:p>
        </w:tc>
      </w:tr>
      <w:tr>
        <w:tblPrEx>
          <w:tblCellMar>
            <w:top w:w="0" w:type="dxa"/>
            <w:left w:w="57" w:type="dxa"/>
            <w:bottom w:w="0" w:type="dxa"/>
            <w:right w:w="57" w:type="dxa"/>
          </w:tblCellMar>
        </w:tblPrEx>
        <w:tc>
          <w:tcPr>
            <w:tcW w:w="1584"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p>
        </w:tc>
        <w:tc>
          <w:tcPr>
            <w:tcW w:w="3936"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319, 401, 561</w:t>
            </w:r>
          </w:p>
        </w:tc>
        <w:tc>
          <w:tcPr>
            <w:tcW w:w="394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319</w:t>
            </w:r>
          </w:p>
        </w:tc>
      </w:tr>
    </w:tbl>
    <w:p>
      <w:pPr>
        <w:ind w:firstLine="360" w:firstLineChars="200"/>
        <w:rPr>
          <w:kern w:val="0"/>
          <w:sz w:val="18"/>
          <w:szCs w:val="18"/>
        </w:rPr>
      </w:pPr>
      <w:r>
        <w:rPr>
          <w:rFonts w:hint="eastAsia" w:ascii="黑体" w:hAnsi="黑体" w:eastAsia="黑体" w:cs="黑体"/>
          <w:kern w:val="0"/>
          <w:sz w:val="18"/>
          <w:szCs w:val="18"/>
        </w:rPr>
        <w:t>注1</w:t>
      </w:r>
      <w:r>
        <w:rPr>
          <w:kern w:val="0"/>
          <w:sz w:val="18"/>
          <w:szCs w:val="18"/>
        </w:rPr>
        <w:t>：</w:t>
      </w:r>
      <w:r>
        <w:rPr>
          <w:rFonts w:hint="eastAsia"/>
          <w:kern w:val="0"/>
          <w:sz w:val="18"/>
          <w:szCs w:val="18"/>
        </w:rPr>
        <w:t>HBCCD的三种同分异构体（α</w:t>
      </w:r>
      <w:r>
        <w:rPr>
          <w:kern w:val="0"/>
          <w:sz w:val="18"/>
          <w:szCs w:val="18"/>
        </w:rPr>
        <w:t>-HBCDD</w:t>
      </w:r>
      <w:r>
        <w:rPr>
          <w:rFonts w:hint="eastAsia"/>
          <w:kern w:val="0"/>
          <w:sz w:val="18"/>
          <w:szCs w:val="18"/>
        </w:rPr>
        <w:t>、β</w:t>
      </w:r>
      <w:r>
        <w:rPr>
          <w:kern w:val="0"/>
          <w:sz w:val="18"/>
          <w:szCs w:val="18"/>
        </w:rPr>
        <w:t xml:space="preserve">-HBCDD </w:t>
      </w:r>
      <w:r>
        <w:rPr>
          <w:rFonts w:hint="eastAsia"/>
          <w:kern w:val="0"/>
          <w:sz w:val="18"/>
          <w:szCs w:val="18"/>
        </w:rPr>
        <w:t>和γ</w:t>
      </w:r>
      <w:r>
        <w:rPr>
          <w:kern w:val="0"/>
          <w:sz w:val="18"/>
          <w:szCs w:val="18"/>
        </w:rPr>
        <w:t>-HBCDD</w:t>
      </w:r>
      <w:r>
        <w:rPr>
          <w:rFonts w:hint="eastAsia"/>
          <w:kern w:val="0"/>
          <w:sz w:val="18"/>
          <w:szCs w:val="18"/>
        </w:rPr>
        <w:t>）在GC上未能被有效分离，因此色谱峰显示为单峰，该色谱峰用于HBCCD总量的定量分析</w:t>
      </w:r>
      <w:r>
        <w:rPr>
          <w:kern w:val="0"/>
          <w:sz w:val="18"/>
          <w:szCs w:val="18"/>
        </w:rPr>
        <w:t>。</w:t>
      </w:r>
    </w:p>
    <w:p>
      <w:pPr>
        <w:ind w:firstLine="360" w:firstLineChars="200"/>
        <w:rPr>
          <w:kern w:val="0"/>
          <w:sz w:val="18"/>
          <w:szCs w:val="18"/>
        </w:rPr>
      </w:pPr>
      <w:r>
        <w:rPr>
          <w:rFonts w:hint="eastAsia" w:ascii="黑体" w:hAnsi="黑体" w:eastAsia="黑体" w:cs="黑体"/>
          <w:kern w:val="0"/>
          <w:sz w:val="18"/>
          <w:szCs w:val="18"/>
        </w:rPr>
        <w:t>注2：</w:t>
      </w:r>
      <w:r>
        <w:rPr>
          <w:kern w:val="0"/>
          <w:sz w:val="18"/>
          <w:szCs w:val="18"/>
        </w:rPr>
        <w:t>在GC分析中，HBCDD在烘箱温度高于160℃发生降解，生成降解产物五溴环十二烷和四溴环十二烯。三种异构体，α-HBCDD、β-HBCDD和γ</w:t>
      </w:r>
      <w:r>
        <w:rPr>
          <w:smallCaps/>
          <w:kern w:val="0"/>
          <w:sz w:val="18"/>
          <w:szCs w:val="18"/>
        </w:rPr>
        <w:t>-</w:t>
      </w:r>
      <w:r>
        <w:rPr>
          <w:kern w:val="0"/>
          <w:sz w:val="18"/>
          <w:szCs w:val="18"/>
        </w:rPr>
        <w:t>HBCDD，在相同保留时间内被检出。因此，无法在HBCDD混合峰将其明确分离。</w:t>
      </w:r>
    </w:p>
    <w:p>
      <w:pPr>
        <w:ind w:firstLine="420" w:firstLineChars="200"/>
        <w:rPr>
          <w:kern w:val="0"/>
          <w:szCs w:val="21"/>
        </w:rPr>
      </w:pPr>
      <w:r>
        <w:rPr>
          <w:rFonts w:hint="eastAsia"/>
          <w:kern w:val="0"/>
          <w:szCs w:val="21"/>
        </w:rPr>
        <w:t>GC-MS分析的总离子流色谱图见附录B</w:t>
      </w:r>
      <w:r>
        <w:rPr>
          <w:kern w:val="0"/>
          <w:szCs w:val="21"/>
        </w:rPr>
        <w:t>（见图B.1和图B.2）。</w:t>
      </w:r>
    </w:p>
    <w:p>
      <w:pPr>
        <w:pStyle w:val="47"/>
        <w:rPr>
          <w:rFonts w:hint="eastAsia" w:eastAsia="黑体"/>
          <w:lang w:val="en-US" w:eastAsia="zh-CN"/>
        </w:rPr>
      </w:pPr>
      <w:bookmarkStart w:id="22" w:name="bookmark11"/>
      <w:r>
        <w:t xml:space="preserve">8.4 </w:t>
      </w:r>
      <w:bookmarkEnd w:id="22"/>
      <w:r>
        <w:rPr>
          <w:rFonts w:hint="eastAsia"/>
          <w:lang w:val="en-US" w:eastAsia="zh-CN"/>
        </w:rPr>
        <w:t>标准储备液</w:t>
      </w:r>
    </w:p>
    <w:p>
      <w:pPr>
        <w:ind w:firstLine="420" w:firstLineChars="200"/>
        <w:rPr>
          <w:rFonts w:hint="eastAsia" w:eastAsia="宋体"/>
          <w:kern w:val="0"/>
          <w:szCs w:val="21"/>
          <w:lang w:val="en-US" w:eastAsia="zh-CN"/>
        </w:rPr>
      </w:pPr>
      <w:r>
        <w:rPr>
          <w:rFonts w:hint="eastAsia"/>
          <w:kern w:val="0"/>
          <w:szCs w:val="21"/>
        </w:rPr>
        <w:t>使用甲苯作为溶剂，</w:t>
      </w:r>
      <w:r>
        <w:rPr>
          <w:rFonts w:hint="eastAsia"/>
          <w:kern w:val="0"/>
          <w:szCs w:val="21"/>
          <w:lang w:val="en-US" w:eastAsia="zh-CN"/>
        </w:rPr>
        <w:t>配制成总浓度为</w:t>
      </w:r>
      <w:r>
        <w:rPr>
          <w:rFonts w:hint="eastAsia"/>
          <w:kern w:val="0"/>
          <w:szCs w:val="21"/>
        </w:rPr>
        <w:t>100</w:t>
      </w:r>
      <w:r>
        <w:rPr>
          <w:rFonts w:hint="eastAsia"/>
          <w:kern w:val="0"/>
          <w:szCs w:val="21"/>
          <w:lang w:val="en-US" w:eastAsia="zh-CN"/>
        </w:rPr>
        <w:t xml:space="preserve"> </w:t>
      </w:r>
      <w:r>
        <w:rPr>
          <w:kern w:val="0"/>
          <w:szCs w:val="21"/>
        </w:rPr>
        <w:t>μg/</w:t>
      </w:r>
      <w:r>
        <w:rPr>
          <w:rFonts w:hint="eastAsia"/>
          <w:kern w:val="0"/>
          <w:szCs w:val="21"/>
          <w:lang w:eastAsia="zh-CN"/>
        </w:rPr>
        <w:t>mL</w:t>
      </w:r>
      <w:r>
        <w:rPr>
          <w:rFonts w:hint="eastAsia"/>
          <w:kern w:val="0"/>
          <w:szCs w:val="21"/>
          <w:lang w:val="en-US" w:eastAsia="zh-CN"/>
        </w:rPr>
        <w:t>的</w:t>
      </w:r>
      <w:r>
        <w:rPr>
          <w:color w:val="000000"/>
          <w:kern w:val="0"/>
          <w:szCs w:val="21"/>
          <w:lang w:bidi="en-US"/>
        </w:rPr>
        <w:t>六溴环十二烷</w:t>
      </w:r>
      <w:r>
        <w:rPr>
          <w:rFonts w:hint="eastAsia"/>
          <w:kern w:val="0"/>
          <w:szCs w:val="21"/>
        </w:rPr>
        <w:t>标准储备液。表3给出了适合GC-MS分析的HBCDD标准物质</w:t>
      </w:r>
      <w:r>
        <w:rPr>
          <w:kern w:val="0"/>
          <w:szCs w:val="21"/>
        </w:rPr>
        <w:t>。</w:t>
      </w:r>
      <w:r>
        <w:rPr>
          <w:rFonts w:hint="eastAsia"/>
          <w:kern w:val="0"/>
          <w:szCs w:val="21"/>
          <w:lang w:val="en-US" w:eastAsia="zh-CN"/>
        </w:rPr>
        <w:t>也可使用合适浓度的</w:t>
      </w:r>
      <w:r>
        <w:rPr>
          <w:color w:val="000000"/>
          <w:kern w:val="0"/>
          <w:szCs w:val="21"/>
          <w:lang w:bidi="en-US"/>
        </w:rPr>
        <w:t>六溴环十二烷</w:t>
      </w:r>
      <w:r>
        <w:rPr>
          <w:rFonts w:hint="eastAsia"/>
          <w:color w:val="000000"/>
          <w:kern w:val="0"/>
          <w:szCs w:val="21"/>
          <w:lang w:val="en-US" w:eastAsia="zh-CN" w:bidi="en-US"/>
        </w:rPr>
        <w:t>有证标准物质。</w:t>
      </w:r>
    </w:p>
    <w:p>
      <w:pPr>
        <w:spacing w:before="156" w:beforeLines="50" w:after="156" w:afterLines="50"/>
        <w:jc w:val="center"/>
        <w:rPr>
          <w:b/>
          <w:bCs/>
          <w:szCs w:val="21"/>
        </w:rPr>
      </w:pPr>
      <w:r>
        <w:rPr>
          <w:b/>
          <w:bCs/>
          <w:szCs w:val="21"/>
        </w:rPr>
        <w:t>表3适合GC-MS分析的市售HBCDD标准物质</w:t>
      </w:r>
    </w:p>
    <w:tbl>
      <w:tblPr>
        <w:tblStyle w:val="37"/>
        <w:tblW w:w="9468" w:type="dxa"/>
        <w:tblInd w:w="0" w:type="dxa"/>
        <w:tblLayout w:type="fixed"/>
        <w:tblCellMar>
          <w:top w:w="0" w:type="dxa"/>
          <w:left w:w="57" w:type="dxa"/>
          <w:bottom w:w="0" w:type="dxa"/>
          <w:right w:w="57" w:type="dxa"/>
        </w:tblCellMar>
      </w:tblPr>
      <w:tblGrid>
        <w:gridCol w:w="6691"/>
        <w:gridCol w:w="2777"/>
      </w:tblGrid>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化合物名称</w:t>
            </w:r>
          </w:p>
        </w:tc>
        <w:tc>
          <w:tcPr>
            <w:tcW w:w="2777" w:type="dxa"/>
            <w:tcBorders>
              <w:top w:val="single" w:color="auto" w:sz="4" w:space="0"/>
              <w:left w:val="single" w:color="auto" w:sz="4" w:space="0"/>
              <w:righ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CAS编号</w:t>
            </w:r>
          </w:p>
        </w:tc>
      </w:tr>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α-六溴环十二烷</w:t>
            </w:r>
          </w:p>
        </w:tc>
        <w:tc>
          <w:tcPr>
            <w:tcW w:w="2777"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134237-50-6</w:t>
            </w:r>
          </w:p>
        </w:tc>
      </w:tr>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β-六溴环十二烷</w:t>
            </w:r>
          </w:p>
        </w:tc>
        <w:tc>
          <w:tcPr>
            <w:tcW w:w="2777"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134237-51-7</w:t>
            </w:r>
          </w:p>
        </w:tc>
      </w:tr>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γ-六溴环十二烷</w:t>
            </w:r>
          </w:p>
        </w:tc>
        <w:tc>
          <w:tcPr>
            <w:tcW w:w="2777"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134237-52-8</w:t>
            </w:r>
          </w:p>
        </w:tc>
      </w:tr>
      <w:tr>
        <w:tblPrEx>
          <w:tblCellMar>
            <w:top w:w="0" w:type="dxa"/>
            <w:left w:w="57" w:type="dxa"/>
            <w:bottom w:w="0" w:type="dxa"/>
            <w:right w:w="57" w:type="dxa"/>
          </w:tblCellMar>
        </w:tblPrEx>
        <w:tc>
          <w:tcPr>
            <w:tcW w:w="6691"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α-六溴环十二烷、β-六溴环十二烷和γ</w:t>
            </w:r>
            <w:r>
              <w:rPr>
                <w:smallCaps/>
                <w:color w:val="000000"/>
                <w:kern w:val="0"/>
                <w:szCs w:val="21"/>
                <w:lang w:bidi="en-US"/>
              </w:rPr>
              <w:t>-</w:t>
            </w:r>
            <w:r>
              <w:rPr>
                <w:color w:val="000000"/>
                <w:kern w:val="0"/>
                <w:szCs w:val="21"/>
                <w:lang w:bidi="en-US"/>
              </w:rPr>
              <w:t>六溴环十二烷的混合标准品</w:t>
            </w:r>
          </w:p>
        </w:tc>
        <w:tc>
          <w:tcPr>
            <w:tcW w:w="277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 xml:space="preserve">25637-99-4 </w:t>
            </w:r>
          </w:p>
          <w:p>
            <w:pPr>
              <w:jc w:val="center"/>
              <w:rPr>
                <w:color w:val="000000"/>
                <w:kern w:val="0"/>
                <w:szCs w:val="21"/>
                <w:lang w:bidi="en-US"/>
              </w:rPr>
            </w:pPr>
            <w:r>
              <w:rPr>
                <w:color w:val="000000"/>
                <w:kern w:val="0"/>
                <w:szCs w:val="21"/>
                <w:lang w:bidi="en-US"/>
              </w:rPr>
              <w:t>和3194-55-6</w:t>
            </w:r>
          </w:p>
        </w:tc>
      </w:tr>
    </w:tbl>
    <w:p>
      <w:pPr>
        <w:pStyle w:val="47"/>
      </w:pPr>
      <w:bookmarkStart w:id="23" w:name="bookmark12"/>
      <w:r>
        <w:t>8.5 校准</w:t>
      </w:r>
      <w:bookmarkEnd w:id="23"/>
    </w:p>
    <w:p>
      <w:pPr>
        <w:widowControl/>
        <w:spacing w:before="156" w:beforeLines="50" w:after="156" w:afterLines="50"/>
        <w:jc w:val="left"/>
        <w:outlineLvl w:val="4"/>
        <w:rPr>
          <w:rFonts w:ascii="黑体" w:hAnsi="黑体" w:eastAsia="黑体"/>
          <w:kern w:val="0"/>
          <w:szCs w:val="21"/>
        </w:rPr>
      </w:pPr>
      <w:bookmarkStart w:id="24" w:name="bookmark13"/>
      <w:r>
        <w:rPr>
          <w:rFonts w:ascii="黑体" w:hAnsi="黑体" w:eastAsia="黑体"/>
          <w:kern w:val="0"/>
          <w:szCs w:val="21"/>
        </w:rPr>
        <w:t>8.5.1 总述</w:t>
      </w:r>
      <w:bookmarkEnd w:id="24"/>
    </w:p>
    <w:p>
      <w:pPr>
        <w:ind w:firstLine="420" w:firstLineChars="200"/>
        <w:rPr>
          <w:kern w:val="0"/>
          <w:szCs w:val="21"/>
        </w:rPr>
      </w:pPr>
      <w:r>
        <w:rPr>
          <w:kern w:val="0"/>
          <w:szCs w:val="21"/>
        </w:rPr>
        <w:t>在可能的情况下，样品和标准溶液应采用相同溶剂，以避免发生任何可能的溶剂效应。应针对定量分析制定校准曲线。</w:t>
      </w:r>
      <w:r>
        <w:rPr>
          <w:rFonts w:hint="default"/>
          <w:kern w:val="0"/>
          <w:szCs w:val="21"/>
          <w:lang w:val="en-US" w:eastAsia="zh-CN"/>
        </w:rPr>
        <w:t>至少配制5个等梯度的标准溶液,以峰面积进行定量。</w:t>
      </w:r>
      <w:r>
        <w:rPr>
          <w:kern w:val="0"/>
          <w:szCs w:val="21"/>
        </w:rPr>
        <w:t>每条校准曲线的线性回归拟合的相对标准偏差（RSD）应小于或等于线性校准函数的15％。</w:t>
      </w:r>
    </w:p>
    <w:p>
      <w:pPr>
        <w:ind w:firstLine="360" w:firstLineChars="200"/>
        <w:rPr>
          <w:kern w:val="0"/>
          <w:sz w:val="18"/>
          <w:szCs w:val="18"/>
        </w:rPr>
      </w:pPr>
      <w:r>
        <w:rPr>
          <w:rFonts w:hint="eastAsia" w:ascii="黑体" w:hAnsi="黑体" w:eastAsia="黑体" w:cs="黑体"/>
          <w:kern w:val="0"/>
          <w:sz w:val="18"/>
          <w:szCs w:val="18"/>
        </w:rPr>
        <w:t>注：</w:t>
      </w:r>
      <w:r>
        <w:rPr>
          <w:rFonts w:hint="eastAsia"/>
          <w:kern w:val="0"/>
          <w:sz w:val="18"/>
          <w:szCs w:val="18"/>
        </w:rPr>
        <w:t>如果R</w:t>
      </w:r>
      <w:r>
        <w:rPr>
          <w:kern w:val="0"/>
          <w:sz w:val="18"/>
          <w:szCs w:val="18"/>
        </w:rPr>
        <w:t>SD</w:t>
      </w:r>
      <w:r>
        <w:rPr>
          <w:rFonts w:hint="eastAsia"/>
          <w:kern w:val="0"/>
          <w:sz w:val="18"/>
          <w:szCs w:val="18"/>
        </w:rPr>
        <w:t>超过限值1</w:t>
      </w:r>
      <w:r>
        <w:rPr>
          <w:kern w:val="0"/>
          <w:sz w:val="18"/>
          <w:szCs w:val="18"/>
        </w:rPr>
        <w:t>5</w:t>
      </w:r>
      <w:r>
        <w:rPr>
          <w:rFonts w:hint="eastAsia"/>
          <w:kern w:val="0"/>
          <w:sz w:val="18"/>
          <w:szCs w:val="18"/>
        </w:rPr>
        <w:t>%，从质量控制角度来看，二次拟合曲线不能保证有明显的改善。只有通过比较线性/二次拟合曲线的统计检验，如F检验来完成验证。这表明尽管R</w:t>
      </w:r>
      <w:r>
        <w:rPr>
          <w:kern w:val="0"/>
          <w:sz w:val="18"/>
          <w:szCs w:val="18"/>
        </w:rPr>
        <w:t>SD</w:t>
      </w:r>
      <w:r>
        <w:rPr>
          <w:rFonts w:hint="eastAsia"/>
          <w:kern w:val="0"/>
          <w:sz w:val="18"/>
          <w:szCs w:val="18"/>
        </w:rPr>
        <w:t>值超出限值，但校准曲线是线性的</w:t>
      </w:r>
      <w:r>
        <w:rPr>
          <w:kern w:val="0"/>
          <w:szCs w:val="21"/>
        </w:rPr>
        <w:t>。</w:t>
      </w:r>
    </w:p>
    <w:p>
      <w:pPr>
        <w:widowControl/>
        <w:spacing w:before="156" w:beforeLines="50" w:after="156" w:afterLines="50"/>
        <w:jc w:val="left"/>
        <w:outlineLvl w:val="4"/>
        <w:rPr>
          <w:rFonts w:ascii="黑体" w:hAnsi="黑体" w:eastAsia="黑体"/>
          <w:kern w:val="0"/>
          <w:szCs w:val="21"/>
        </w:rPr>
      </w:pPr>
      <w:bookmarkStart w:id="25" w:name="bookmark14"/>
      <w:r>
        <w:rPr>
          <w:rFonts w:ascii="黑体" w:hAnsi="黑体" w:eastAsia="黑体"/>
          <w:kern w:val="0"/>
          <w:szCs w:val="21"/>
        </w:rPr>
        <w:t>8.5.</w:t>
      </w:r>
      <w:r>
        <w:rPr>
          <w:rFonts w:ascii="黑体" w:hAnsi="黑体" w:eastAsia="黑体"/>
          <w:kern w:val="0"/>
          <w:szCs w:val="21"/>
          <w:highlight w:val="none"/>
        </w:rPr>
        <w:t xml:space="preserve">2 </w:t>
      </w:r>
      <w:r>
        <w:rPr>
          <w:rFonts w:hint="eastAsia" w:ascii="黑体" w:hAnsi="黑体" w:eastAsia="黑体"/>
          <w:kern w:val="0"/>
          <w:szCs w:val="21"/>
          <w:highlight w:val="none"/>
          <w:lang w:val="en-US" w:eastAsia="zh-CN"/>
        </w:rPr>
        <w:t>校</w:t>
      </w:r>
      <w:r>
        <w:rPr>
          <w:rFonts w:ascii="黑体" w:hAnsi="黑体" w:eastAsia="黑体"/>
          <w:kern w:val="0"/>
          <w:szCs w:val="21"/>
          <w:highlight w:val="none"/>
        </w:rPr>
        <w:t>准溶</w:t>
      </w:r>
      <w:r>
        <w:rPr>
          <w:rFonts w:ascii="黑体" w:hAnsi="黑体" w:eastAsia="黑体"/>
          <w:kern w:val="0"/>
          <w:szCs w:val="21"/>
        </w:rPr>
        <w:t>液</w:t>
      </w:r>
      <w:bookmarkEnd w:id="25"/>
    </w:p>
    <w:p>
      <w:pPr>
        <w:ind w:firstLine="420" w:firstLineChars="200"/>
        <w:rPr>
          <w:kern w:val="0"/>
          <w:szCs w:val="21"/>
        </w:rPr>
      </w:pPr>
      <w:r>
        <w:rPr>
          <w:rFonts w:hint="eastAsia"/>
          <w:kern w:val="0"/>
          <w:szCs w:val="21"/>
          <w:lang w:val="en-US" w:eastAsia="zh-CN"/>
        </w:rPr>
        <w:t>用8.4中的标准</w:t>
      </w:r>
      <w:r>
        <w:rPr>
          <w:rFonts w:hint="eastAsia"/>
          <w:kern w:val="0"/>
          <w:szCs w:val="21"/>
        </w:rPr>
        <w:t>储备溶液</w:t>
      </w:r>
      <w:r>
        <w:rPr>
          <w:rFonts w:hint="eastAsia"/>
          <w:kern w:val="0"/>
          <w:szCs w:val="21"/>
          <w:lang w:val="en-US" w:eastAsia="zh-CN"/>
        </w:rPr>
        <w:t>配制</w:t>
      </w:r>
      <w:r>
        <w:rPr>
          <w:rFonts w:hint="eastAsia"/>
          <w:kern w:val="0"/>
          <w:szCs w:val="21"/>
        </w:rPr>
        <w:t>表</w:t>
      </w:r>
      <w:r>
        <w:rPr>
          <w:kern w:val="0"/>
          <w:szCs w:val="21"/>
        </w:rPr>
        <w:t>4</w:t>
      </w:r>
      <w:r>
        <w:rPr>
          <w:rFonts w:hint="eastAsia"/>
          <w:kern w:val="0"/>
          <w:szCs w:val="21"/>
        </w:rPr>
        <w:t>所示</w:t>
      </w:r>
      <w:r>
        <w:rPr>
          <w:rFonts w:hint="eastAsia"/>
          <w:kern w:val="0"/>
          <w:szCs w:val="21"/>
          <w:lang w:val="en-US" w:eastAsia="zh-CN"/>
        </w:rPr>
        <w:t>系列</w:t>
      </w:r>
      <w:r>
        <w:rPr>
          <w:rFonts w:hint="eastAsia"/>
          <w:kern w:val="0"/>
          <w:szCs w:val="21"/>
        </w:rPr>
        <w:t>浓度的标准溶液</w:t>
      </w:r>
      <w:r>
        <w:rPr>
          <w:kern w:val="0"/>
          <w:szCs w:val="21"/>
        </w:rPr>
        <w:t>，使用混合溶剂（</w:t>
      </w:r>
      <w:r>
        <w:rPr>
          <w:rFonts w:hint="eastAsia"/>
          <w:kern w:val="0"/>
          <w:szCs w:val="21"/>
          <w:lang w:val="en-US" w:eastAsia="zh-CN"/>
        </w:rPr>
        <w:t>5.e)</w:t>
      </w:r>
      <w:r>
        <w:rPr>
          <w:kern w:val="0"/>
          <w:szCs w:val="21"/>
        </w:rPr>
        <w:t>）作为稀释剂。</w:t>
      </w:r>
    </w:p>
    <w:p>
      <w:pPr>
        <w:spacing w:before="156" w:beforeLines="50" w:after="156" w:afterLines="50"/>
        <w:jc w:val="center"/>
        <w:rPr>
          <w:b/>
          <w:bCs/>
          <w:szCs w:val="21"/>
        </w:rPr>
      </w:pPr>
      <w:r>
        <w:rPr>
          <w:b/>
          <w:bCs/>
          <w:szCs w:val="21"/>
        </w:rPr>
        <w:t>表4</w:t>
      </w:r>
      <w:r>
        <w:rPr>
          <w:rFonts w:hint="eastAsia"/>
          <w:b/>
          <w:bCs/>
          <w:szCs w:val="21"/>
          <w:lang w:val="en-US" w:eastAsia="zh-CN"/>
        </w:rPr>
        <w:t xml:space="preserve"> </w:t>
      </w:r>
      <w:r>
        <w:rPr>
          <w:b/>
          <w:bCs/>
          <w:szCs w:val="21"/>
        </w:rPr>
        <w:t>HBCDD的校准溶液</w:t>
      </w:r>
    </w:p>
    <w:tbl>
      <w:tblPr>
        <w:tblStyle w:val="37"/>
        <w:tblW w:w="9468" w:type="dxa"/>
        <w:tblInd w:w="0" w:type="dxa"/>
        <w:tblLayout w:type="fixed"/>
        <w:tblCellMar>
          <w:top w:w="0" w:type="dxa"/>
          <w:left w:w="57" w:type="dxa"/>
          <w:bottom w:w="0" w:type="dxa"/>
          <w:right w:w="57" w:type="dxa"/>
        </w:tblCellMar>
      </w:tblPr>
      <w:tblGrid>
        <w:gridCol w:w="3163"/>
        <w:gridCol w:w="3143"/>
        <w:gridCol w:w="3162"/>
      </w:tblGrid>
      <w:tr>
        <w:tblPrEx>
          <w:tblCellMar>
            <w:top w:w="0" w:type="dxa"/>
            <w:left w:w="57" w:type="dxa"/>
            <w:bottom w:w="0" w:type="dxa"/>
            <w:right w:w="57" w:type="dxa"/>
          </w:tblCellMar>
        </w:tblPrEx>
        <w:tc>
          <w:tcPr>
            <w:tcW w:w="316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标准溶液编号</w:t>
            </w:r>
          </w:p>
        </w:tc>
        <w:tc>
          <w:tcPr>
            <w:tcW w:w="314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r>
              <w:rPr>
                <w:rFonts w:hint="eastAsia"/>
                <w:color w:val="000000"/>
                <w:kern w:val="0"/>
                <w:szCs w:val="21"/>
                <w:lang w:val="en-US" w:eastAsia="zh-CN" w:bidi="en-US"/>
              </w:rPr>
              <w:t>总</w:t>
            </w:r>
            <w:r>
              <w:rPr>
                <w:color w:val="000000"/>
                <w:kern w:val="0"/>
                <w:szCs w:val="21"/>
                <w:lang w:bidi="en-US"/>
              </w:rPr>
              <w:t>浓度</w:t>
            </w:r>
          </w:p>
          <w:p>
            <w:pPr>
              <w:jc w:val="center"/>
              <w:rPr>
                <w:color w:val="000000"/>
                <w:kern w:val="0"/>
                <w:szCs w:val="21"/>
                <w:lang w:bidi="en-US"/>
              </w:rPr>
            </w:pPr>
            <w:r>
              <w:rPr>
                <w:color w:val="000000"/>
                <w:kern w:val="0"/>
                <w:szCs w:val="21"/>
                <w:lang w:bidi="en-US"/>
              </w:rPr>
              <w:t>（μg/</w:t>
            </w:r>
            <w:r>
              <w:rPr>
                <w:rFonts w:hint="eastAsia"/>
                <w:color w:val="000000"/>
                <w:kern w:val="0"/>
                <w:szCs w:val="21"/>
                <w:lang w:eastAsia="zh-CN" w:bidi="en-US"/>
              </w:rPr>
              <w:t>mL</w:t>
            </w:r>
            <w:r>
              <w:rPr>
                <w:color w:val="000000"/>
                <w:kern w:val="0"/>
                <w:szCs w:val="21"/>
                <w:lang w:bidi="en-US"/>
              </w:rPr>
              <w:t>）</w:t>
            </w:r>
          </w:p>
        </w:tc>
        <w:tc>
          <w:tcPr>
            <w:tcW w:w="3162"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rFonts w:hint="eastAsia"/>
                <w:color w:val="000000"/>
                <w:kern w:val="0"/>
                <w:szCs w:val="21"/>
                <w:lang w:val="en-US" w:eastAsia="zh-CN" w:bidi="en-US"/>
              </w:rPr>
              <w:t>按8.2.5方法加入</w:t>
            </w:r>
            <w:r>
              <w:rPr>
                <w:color w:val="000000"/>
                <w:kern w:val="0"/>
                <w:szCs w:val="21"/>
                <w:lang w:bidi="en-US"/>
              </w:rPr>
              <w:t>内标</w:t>
            </w:r>
            <w:r>
              <w:rPr>
                <w:rFonts w:hint="eastAsia"/>
                <w:color w:val="000000"/>
                <w:kern w:val="0"/>
                <w:szCs w:val="21"/>
                <w:lang w:val="en-US" w:eastAsia="zh-CN" w:bidi="en-US"/>
              </w:rPr>
              <w:t>溶液（8.2.1）</w:t>
            </w:r>
            <w:r>
              <w:rPr>
                <w:color w:val="000000"/>
                <w:kern w:val="0"/>
                <w:szCs w:val="21"/>
                <w:lang w:bidi="en-US"/>
              </w:rPr>
              <w:t>体积</w:t>
            </w:r>
          </w:p>
          <w:p>
            <w:pPr>
              <w:jc w:val="center"/>
              <w:rPr>
                <w:color w:val="000000"/>
                <w:kern w:val="0"/>
                <w:szCs w:val="21"/>
                <w:lang w:bidi="en-US"/>
              </w:rPr>
            </w:pPr>
            <w:r>
              <w:rPr>
                <w:color w:val="000000"/>
                <w:kern w:val="0"/>
                <w:szCs w:val="21"/>
                <w:lang w:bidi="en-US"/>
              </w:rPr>
              <w:t>（</w:t>
            </w:r>
            <w:r>
              <w:rPr>
                <w:kern w:val="0"/>
                <w:szCs w:val="21"/>
              </w:rPr>
              <w:t>μ</w:t>
            </w:r>
            <w:r>
              <w:rPr>
                <w:rFonts w:hint="eastAsia"/>
                <w:color w:val="000000"/>
                <w:kern w:val="0"/>
                <w:szCs w:val="21"/>
                <w:lang w:eastAsia="zh-CN" w:bidi="en-US"/>
              </w:rPr>
              <w:t>L</w:t>
            </w:r>
            <w:r>
              <w:rPr>
                <w:color w:val="000000"/>
                <w:kern w:val="0"/>
                <w:szCs w:val="21"/>
                <w:lang w:bidi="en-US"/>
              </w:rPr>
              <w:t>）</w:t>
            </w:r>
          </w:p>
        </w:tc>
      </w:tr>
      <w:tr>
        <w:tblPrEx>
          <w:tblCellMar>
            <w:top w:w="0" w:type="dxa"/>
            <w:left w:w="57" w:type="dxa"/>
            <w:bottom w:w="0" w:type="dxa"/>
            <w:right w:w="57" w:type="dxa"/>
          </w:tblCellMar>
        </w:tblPrEx>
        <w:tc>
          <w:tcPr>
            <w:tcW w:w="316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w:t>
            </w:r>
          </w:p>
        </w:tc>
        <w:tc>
          <w:tcPr>
            <w:tcW w:w="314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0</w:t>
            </w:r>
            <w:r>
              <w:rPr>
                <w:rFonts w:hint="eastAsia"/>
                <w:color w:val="000000"/>
                <w:kern w:val="0"/>
                <w:szCs w:val="21"/>
                <w:lang w:eastAsia="zh-CN" w:bidi="en-US"/>
              </w:rPr>
              <w:t>.</w:t>
            </w:r>
            <w:r>
              <w:rPr>
                <w:color w:val="000000"/>
                <w:kern w:val="0"/>
                <w:szCs w:val="21"/>
                <w:lang w:bidi="en-US"/>
              </w:rPr>
              <w:t>5</w:t>
            </w:r>
          </w:p>
        </w:tc>
        <w:tc>
          <w:tcPr>
            <w:tcW w:w="3162"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20</w:t>
            </w:r>
          </w:p>
        </w:tc>
      </w:tr>
      <w:tr>
        <w:tblPrEx>
          <w:tblCellMar>
            <w:top w:w="0" w:type="dxa"/>
            <w:left w:w="57" w:type="dxa"/>
            <w:bottom w:w="0" w:type="dxa"/>
            <w:right w:w="57" w:type="dxa"/>
          </w:tblCellMar>
        </w:tblPrEx>
        <w:tc>
          <w:tcPr>
            <w:tcW w:w="316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w:t>
            </w:r>
          </w:p>
        </w:tc>
        <w:tc>
          <w:tcPr>
            <w:tcW w:w="314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w:t>
            </w:r>
            <w:r>
              <w:rPr>
                <w:rFonts w:hint="eastAsia"/>
                <w:color w:val="000000"/>
                <w:kern w:val="0"/>
                <w:szCs w:val="21"/>
                <w:lang w:eastAsia="zh-CN" w:bidi="en-US"/>
              </w:rPr>
              <w:t>.</w:t>
            </w:r>
            <w:r>
              <w:rPr>
                <w:color w:val="000000"/>
                <w:kern w:val="0"/>
                <w:szCs w:val="21"/>
                <w:lang w:bidi="en-US"/>
              </w:rPr>
              <w:t>0</w:t>
            </w:r>
          </w:p>
        </w:tc>
        <w:tc>
          <w:tcPr>
            <w:tcW w:w="3162"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20</w:t>
            </w:r>
          </w:p>
        </w:tc>
      </w:tr>
      <w:tr>
        <w:tblPrEx>
          <w:tblCellMar>
            <w:top w:w="0" w:type="dxa"/>
            <w:left w:w="57" w:type="dxa"/>
            <w:bottom w:w="0" w:type="dxa"/>
            <w:right w:w="57" w:type="dxa"/>
          </w:tblCellMar>
        </w:tblPrEx>
        <w:tc>
          <w:tcPr>
            <w:tcW w:w="316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w:t>
            </w:r>
          </w:p>
        </w:tc>
        <w:tc>
          <w:tcPr>
            <w:tcW w:w="314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w:t>
            </w:r>
            <w:r>
              <w:rPr>
                <w:rFonts w:hint="eastAsia"/>
                <w:color w:val="000000"/>
                <w:kern w:val="0"/>
                <w:szCs w:val="21"/>
                <w:lang w:eastAsia="zh-CN" w:bidi="en-US"/>
              </w:rPr>
              <w:t>.</w:t>
            </w:r>
            <w:r>
              <w:rPr>
                <w:color w:val="000000"/>
                <w:kern w:val="0"/>
                <w:szCs w:val="21"/>
                <w:lang w:bidi="en-US"/>
              </w:rPr>
              <w:t>5</w:t>
            </w:r>
          </w:p>
        </w:tc>
        <w:tc>
          <w:tcPr>
            <w:tcW w:w="3162"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20</w:t>
            </w:r>
          </w:p>
        </w:tc>
      </w:tr>
      <w:tr>
        <w:tblPrEx>
          <w:tblCellMar>
            <w:top w:w="0" w:type="dxa"/>
            <w:left w:w="57" w:type="dxa"/>
            <w:bottom w:w="0" w:type="dxa"/>
            <w:right w:w="57" w:type="dxa"/>
          </w:tblCellMar>
        </w:tblPrEx>
        <w:tc>
          <w:tcPr>
            <w:tcW w:w="316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4</w:t>
            </w:r>
          </w:p>
        </w:tc>
        <w:tc>
          <w:tcPr>
            <w:tcW w:w="314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w:t>
            </w:r>
            <w:r>
              <w:rPr>
                <w:rFonts w:hint="eastAsia"/>
                <w:color w:val="000000"/>
                <w:kern w:val="0"/>
                <w:szCs w:val="21"/>
                <w:lang w:eastAsia="zh-CN" w:bidi="en-US"/>
              </w:rPr>
              <w:t>.</w:t>
            </w:r>
            <w:r>
              <w:rPr>
                <w:color w:val="000000"/>
                <w:kern w:val="0"/>
                <w:szCs w:val="21"/>
                <w:lang w:bidi="en-US"/>
              </w:rPr>
              <w:t>0</w:t>
            </w:r>
          </w:p>
        </w:tc>
        <w:tc>
          <w:tcPr>
            <w:tcW w:w="3162"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20</w:t>
            </w:r>
          </w:p>
        </w:tc>
      </w:tr>
      <w:tr>
        <w:tblPrEx>
          <w:tblCellMar>
            <w:top w:w="0" w:type="dxa"/>
            <w:left w:w="57" w:type="dxa"/>
            <w:bottom w:w="0" w:type="dxa"/>
            <w:right w:w="57" w:type="dxa"/>
          </w:tblCellMar>
        </w:tblPrEx>
        <w:tc>
          <w:tcPr>
            <w:tcW w:w="3163"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w:t>
            </w:r>
          </w:p>
        </w:tc>
        <w:tc>
          <w:tcPr>
            <w:tcW w:w="3143"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w:t>
            </w:r>
          </w:p>
        </w:tc>
        <w:tc>
          <w:tcPr>
            <w:tcW w:w="316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20</w:t>
            </w:r>
          </w:p>
        </w:tc>
      </w:tr>
    </w:tbl>
    <w:p>
      <w:pPr>
        <w:ind w:firstLine="420" w:firstLineChars="200"/>
        <w:rPr>
          <w:kern w:val="0"/>
          <w:szCs w:val="21"/>
        </w:rPr>
      </w:pPr>
      <w:r>
        <w:rPr>
          <w:kern w:val="0"/>
          <w:szCs w:val="21"/>
        </w:rPr>
        <w:t>使用</w:t>
      </w:r>
      <w:r>
        <w:rPr>
          <w:rFonts w:hint="eastAsia"/>
          <w:kern w:val="0"/>
          <w:szCs w:val="21"/>
          <w:lang w:eastAsia="zh-CN"/>
        </w:rPr>
        <w:t>公式</w:t>
      </w:r>
      <w:r>
        <w:rPr>
          <w:kern w:val="0"/>
          <w:szCs w:val="21"/>
        </w:rPr>
        <w:t>（1）完成线性回归：</w:t>
      </w:r>
    </w:p>
    <w:p>
      <w:pPr>
        <w:tabs>
          <w:tab w:val="left" w:pos="4820"/>
        </w:tabs>
        <w:adjustRightInd w:val="0"/>
        <w:snapToGrid w:val="0"/>
        <w:spacing w:before="156" w:beforeLines="50" w:after="156" w:afterLines="50"/>
        <w:jc w:val="right"/>
        <w:rPr>
          <w:color w:val="000000"/>
          <w:kern w:val="0"/>
          <w:szCs w:val="21"/>
          <w:lang w:bidi="en-US"/>
        </w:rPr>
      </w:pPr>
      <w:r>
        <w:rPr>
          <w:rFonts w:ascii="Cambria Math" w:hAnsi="Cambria Math"/>
          <w:i/>
          <w:color w:val="000000"/>
          <w:kern w:val="0"/>
          <w:position w:val="-30"/>
          <w:szCs w:val="21"/>
          <w:lang w:bidi="en-US"/>
        </w:rPr>
        <w:object>
          <v:shape id="_x0000_i1025" o:spt="75" type="#_x0000_t75" style="height:34pt;width:83pt;" o:ole="t" filled="f" o:preferrelative="t" stroked="f" coordsize="21600,21600">
            <v:path/>
            <v:fill on="f" focussize="0,0"/>
            <v:stroke on="f"/>
            <v:imagedata r:id="rId16" o:title=""/>
            <o:lock v:ext="edit" aspectratio="t"/>
            <w10:wrap type="none"/>
            <w10:anchorlock/>
          </v:shape>
          <o:OLEObject Type="Embed" ProgID="Equation.KSEE3" ShapeID="_x0000_i1025" DrawAspect="Content" ObjectID="_1468075725" r:id="rId15">
            <o:LockedField>false</o:LockedField>
          </o:OLEObject>
        </w:object>
      </w:r>
      <w:r>
        <w:rPr>
          <w:rFonts w:hint="eastAsia" w:ascii="Cambria Math" w:hAnsi="Cambria Math"/>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...............................（1）</w:t>
      </w:r>
    </w:p>
    <w:p>
      <w:pPr>
        <w:ind w:firstLine="420" w:firstLineChars="200"/>
        <w:rPr>
          <w:kern w:val="0"/>
          <w:szCs w:val="21"/>
          <w:highlight w:val="none"/>
        </w:rPr>
      </w:pPr>
      <w:r>
        <w:rPr>
          <w:kern w:val="0"/>
          <w:szCs w:val="21"/>
          <w:highlight w:val="none"/>
        </w:rPr>
        <w:t>式中：</w:t>
      </w:r>
    </w:p>
    <w:p>
      <w:pPr>
        <w:ind w:firstLine="420" w:firstLineChars="200"/>
        <w:rPr>
          <w:iCs/>
          <w:kern w:val="0"/>
          <w:szCs w:val="21"/>
          <w:highlight w:val="none"/>
        </w:rPr>
      </w:pPr>
      <w:r>
        <w:rPr>
          <w:i/>
          <w:iCs/>
          <w:kern w:val="0"/>
          <w:szCs w:val="21"/>
          <w:highlight w:val="none"/>
        </w:rPr>
        <w:t xml:space="preserve">A </w:t>
      </w:r>
      <w:r>
        <w:rPr>
          <w:rStyle w:val="207"/>
          <w:rFonts w:ascii="Times New Roman" w:hAnsi="Times New Roman" w:cs="Times New Roman" w:eastAsiaTheme="minorEastAsia"/>
          <w:color w:val="000000"/>
          <w:sz w:val="18"/>
          <w:szCs w:val="18"/>
          <w:highlight w:val="none"/>
        </w:rPr>
        <w:t>——</w:t>
      </w:r>
      <w:r>
        <w:rPr>
          <w:iCs/>
          <w:kern w:val="0"/>
          <w:szCs w:val="21"/>
          <w:highlight w:val="none"/>
        </w:rPr>
        <w:t>校准溶液中HBCDD的峰面积；</w:t>
      </w:r>
    </w:p>
    <w:p>
      <w:pPr>
        <w:ind w:firstLine="420" w:firstLineChars="200"/>
        <w:rPr>
          <w:kern w:val="0"/>
          <w:szCs w:val="21"/>
          <w:highlight w:val="none"/>
        </w:rPr>
      </w:pPr>
      <w:r>
        <w:rPr>
          <w:rFonts w:asciiTheme="minorEastAsia" w:hAnsiTheme="minorEastAsia" w:eastAsiaTheme="minorEastAsia"/>
          <w:i/>
          <w:kern w:val="0"/>
          <w:szCs w:val="21"/>
          <w:highlight w:val="none"/>
        </w:rPr>
        <w:t>A</w:t>
      </w:r>
      <w:r>
        <w:rPr>
          <w:rFonts w:asciiTheme="minorEastAsia" w:hAnsiTheme="minorEastAsia" w:eastAsiaTheme="minorEastAsia"/>
          <w:kern w:val="0"/>
          <w:sz w:val="14"/>
          <w:szCs w:val="14"/>
          <w:highlight w:val="none"/>
        </w:rPr>
        <w:t>IS</w:t>
      </w:r>
      <w:r>
        <w:rPr>
          <w:rStyle w:val="207"/>
          <w:rFonts w:ascii="Times New Roman" w:hAnsi="Times New Roman" w:cs="Times New Roman" w:eastAsiaTheme="minorEastAsia"/>
          <w:color w:val="000000"/>
          <w:sz w:val="18"/>
          <w:szCs w:val="18"/>
          <w:highlight w:val="none"/>
        </w:rPr>
        <w:t>——</w:t>
      </w:r>
      <w:r>
        <w:rPr>
          <w:kern w:val="0"/>
          <w:szCs w:val="21"/>
          <w:highlight w:val="none"/>
        </w:rPr>
        <w:t>内标</w:t>
      </w:r>
      <w:r>
        <w:rPr>
          <w:rFonts w:hint="eastAsia"/>
          <w:kern w:val="0"/>
          <w:szCs w:val="21"/>
          <w:highlight w:val="none"/>
          <w:lang w:val="en-US" w:eastAsia="zh-CN"/>
        </w:rPr>
        <w:t>物的</w:t>
      </w:r>
      <w:r>
        <w:rPr>
          <w:kern w:val="0"/>
          <w:szCs w:val="21"/>
          <w:highlight w:val="none"/>
        </w:rPr>
        <w:t>峰面积；</w:t>
      </w:r>
    </w:p>
    <w:p>
      <w:pPr>
        <w:ind w:firstLine="420" w:firstLineChars="200"/>
        <w:rPr>
          <w:kern w:val="0"/>
          <w:szCs w:val="21"/>
          <w:highlight w:val="none"/>
        </w:rPr>
      </w:pPr>
      <w:r>
        <w:rPr>
          <w:i/>
          <w:iCs/>
          <w:kern w:val="0"/>
          <w:szCs w:val="21"/>
          <w:highlight w:val="none"/>
        </w:rPr>
        <w:t>C</w:t>
      </w:r>
      <w:r>
        <w:rPr>
          <w:rFonts w:hint="eastAsia"/>
          <w:kern w:val="0"/>
          <w:szCs w:val="21"/>
          <w:highlight w:val="none"/>
          <w:lang w:val="en-US" w:eastAsia="zh-CN"/>
        </w:rPr>
        <w:t xml:space="preserve"> </w:t>
      </w:r>
      <w:r>
        <w:rPr>
          <w:rStyle w:val="207"/>
          <w:rFonts w:ascii="Times New Roman" w:hAnsi="Times New Roman" w:cs="Times New Roman" w:eastAsiaTheme="minorEastAsia"/>
          <w:color w:val="000000"/>
          <w:sz w:val="18"/>
          <w:szCs w:val="18"/>
          <w:highlight w:val="none"/>
        </w:rPr>
        <w:t>——</w:t>
      </w:r>
      <w:r>
        <w:rPr>
          <w:kern w:val="0"/>
          <w:szCs w:val="21"/>
          <w:highlight w:val="none"/>
        </w:rPr>
        <w:t>HBCDD浓度</w:t>
      </w:r>
      <w:r>
        <w:rPr>
          <w:rFonts w:hint="eastAsia"/>
          <w:kern w:val="0"/>
          <w:szCs w:val="21"/>
          <w:highlight w:val="none"/>
          <w:lang w:val="en-US" w:eastAsia="zh-CN"/>
        </w:rPr>
        <w:t>,单位为微克每毫升</w:t>
      </w:r>
      <w:r>
        <w:rPr>
          <w:kern w:val="0"/>
          <w:szCs w:val="21"/>
          <w:highlight w:val="none"/>
        </w:rPr>
        <w:t>（μg/</w:t>
      </w:r>
      <w:r>
        <w:rPr>
          <w:rFonts w:hint="eastAsia"/>
          <w:kern w:val="0"/>
          <w:szCs w:val="21"/>
          <w:highlight w:val="none"/>
          <w:lang w:eastAsia="zh-CN"/>
        </w:rPr>
        <w:t>mL</w:t>
      </w:r>
      <w:r>
        <w:rPr>
          <w:kern w:val="0"/>
          <w:szCs w:val="21"/>
          <w:highlight w:val="none"/>
        </w:rPr>
        <w:t>）；</w:t>
      </w:r>
    </w:p>
    <w:p>
      <w:pPr>
        <w:ind w:firstLine="420" w:firstLineChars="200"/>
        <w:rPr>
          <w:kern w:val="0"/>
          <w:szCs w:val="21"/>
          <w:highlight w:val="none"/>
        </w:rPr>
      </w:pPr>
      <w:r>
        <w:rPr>
          <w:i/>
          <w:iCs/>
          <w:kern w:val="0"/>
          <w:szCs w:val="21"/>
          <w:highlight w:val="none"/>
        </w:rPr>
        <w:t>C</w:t>
      </w:r>
      <w:r>
        <w:rPr>
          <w:rFonts w:asciiTheme="minorEastAsia" w:hAnsiTheme="minorEastAsia" w:eastAsiaTheme="minorEastAsia"/>
          <w:i/>
          <w:iCs/>
          <w:kern w:val="0"/>
          <w:sz w:val="14"/>
          <w:szCs w:val="14"/>
          <w:highlight w:val="none"/>
        </w:rPr>
        <w:t>IS</w:t>
      </w:r>
      <w:r>
        <w:rPr>
          <w:rStyle w:val="207"/>
          <w:rFonts w:ascii="Times New Roman" w:hAnsi="Times New Roman" w:cs="Times New Roman" w:eastAsiaTheme="minorEastAsia"/>
          <w:color w:val="000000"/>
          <w:sz w:val="18"/>
          <w:szCs w:val="18"/>
          <w:highlight w:val="none"/>
        </w:rPr>
        <w:t>——</w:t>
      </w:r>
      <w:r>
        <w:rPr>
          <w:kern w:val="0"/>
          <w:szCs w:val="21"/>
          <w:highlight w:val="none"/>
        </w:rPr>
        <w:t>内标浓度</w:t>
      </w:r>
      <w:r>
        <w:rPr>
          <w:rFonts w:hint="eastAsia"/>
          <w:kern w:val="0"/>
          <w:szCs w:val="21"/>
          <w:highlight w:val="none"/>
          <w:lang w:val="en-US" w:eastAsia="zh-CN"/>
        </w:rPr>
        <w:t>,单位为微克每毫升</w:t>
      </w:r>
      <w:r>
        <w:rPr>
          <w:kern w:val="0"/>
          <w:szCs w:val="21"/>
          <w:highlight w:val="none"/>
        </w:rPr>
        <w:t>（μg/</w:t>
      </w:r>
      <w:r>
        <w:rPr>
          <w:rFonts w:hint="eastAsia"/>
          <w:kern w:val="0"/>
          <w:szCs w:val="21"/>
          <w:highlight w:val="none"/>
          <w:lang w:eastAsia="zh-CN"/>
        </w:rPr>
        <w:t>mL</w:t>
      </w:r>
      <w:r>
        <w:rPr>
          <w:kern w:val="0"/>
          <w:szCs w:val="21"/>
          <w:highlight w:val="none"/>
        </w:rPr>
        <w:t xml:space="preserve">）； </w:t>
      </w:r>
    </w:p>
    <w:p>
      <w:pPr>
        <w:ind w:firstLine="420" w:firstLineChars="200"/>
        <w:rPr>
          <w:iCs/>
          <w:kern w:val="0"/>
          <w:szCs w:val="21"/>
          <w:highlight w:val="none"/>
        </w:rPr>
      </w:pPr>
      <w:r>
        <w:rPr>
          <w:i/>
          <w:iCs/>
          <w:kern w:val="0"/>
          <w:szCs w:val="21"/>
          <w:highlight w:val="none"/>
        </w:rPr>
        <w:t xml:space="preserve">a </w:t>
      </w:r>
      <w:r>
        <w:rPr>
          <w:rStyle w:val="207"/>
          <w:rFonts w:ascii="Times New Roman" w:hAnsi="Times New Roman" w:cs="Times New Roman" w:eastAsiaTheme="minorEastAsia"/>
          <w:color w:val="000000"/>
          <w:sz w:val="18"/>
          <w:szCs w:val="18"/>
          <w:highlight w:val="none"/>
        </w:rPr>
        <w:t>——</w:t>
      </w:r>
      <w:r>
        <w:rPr>
          <w:iCs/>
          <w:kern w:val="0"/>
          <w:szCs w:val="21"/>
          <w:highlight w:val="none"/>
        </w:rPr>
        <w:t>校准曲线</w:t>
      </w:r>
      <w:r>
        <w:rPr>
          <w:rFonts w:hint="eastAsia"/>
          <w:iCs/>
          <w:kern w:val="0"/>
          <w:szCs w:val="21"/>
          <w:highlight w:val="none"/>
          <w:lang w:val="en-US" w:eastAsia="zh-CN"/>
        </w:rPr>
        <w:t>的</w:t>
      </w:r>
      <w:r>
        <w:rPr>
          <w:iCs/>
          <w:kern w:val="0"/>
          <w:szCs w:val="21"/>
          <w:highlight w:val="none"/>
        </w:rPr>
        <w:t xml:space="preserve">斜率； </w:t>
      </w:r>
    </w:p>
    <w:p>
      <w:pPr>
        <w:ind w:firstLine="420" w:firstLineChars="200"/>
        <w:rPr>
          <w:iCs/>
          <w:kern w:val="0"/>
          <w:szCs w:val="21"/>
          <w:highlight w:val="none"/>
        </w:rPr>
      </w:pPr>
      <w:r>
        <w:rPr>
          <w:i/>
          <w:iCs/>
          <w:kern w:val="0"/>
          <w:szCs w:val="21"/>
          <w:highlight w:val="none"/>
        </w:rPr>
        <w:t xml:space="preserve">b </w:t>
      </w:r>
      <w:r>
        <w:rPr>
          <w:rStyle w:val="207"/>
          <w:rFonts w:ascii="Times New Roman" w:hAnsi="Times New Roman" w:cs="Times New Roman" w:eastAsiaTheme="minorEastAsia"/>
          <w:color w:val="000000"/>
          <w:sz w:val="18"/>
          <w:szCs w:val="18"/>
          <w:highlight w:val="none"/>
        </w:rPr>
        <w:t>——</w:t>
      </w:r>
      <w:r>
        <w:rPr>
          <w:iCs/>
          <w:kern w:val="0"/>
          <w:szCs w:val="21"/>
          <w:highlight w:val="none"/>
        </w:rPr>
        <w:t>校准曲线y轴</w:t>
      </w:r>
      <w:r>
        <w:rPr>
          <w:rFonts w:hint="eastAsia"/>
          <w:iCs/>
          <w:kern w:val="0"/>
          <w:szCs w:val="21"/>
          <w:highlight w:val="none"/>
          <w:lang w:val="en-US" w:eastAsia="zh-CN"/>
        </w:rPr>
        <w:t>上的</w:t>
      </w:r>
      <w:r>
        <w:rPr>
          <w:iCs/>
          <w:kern w:val="0"/>
          <w:szCs w:val="21"/>
          <w:highlight w:val="none"/>
        </w:rPr>
        <w:t>截距。</w:t>
      </w:r>
    </w:p>
    <w:p>
      <w:pPr>
        <w:ind w:firstLine="420" w:firstLineChars="200"/>
        <w:rPr>
          <w:kern w:val="0"/>
          <w:szCs w:val="21"/>
          <w:highlight w:val="none"/>
        </w:rPr>
      </w:pPr>
      <w:r>
        <w:rPr>
          <w:kern w:val="0"/>
          <w:szCs w:val="21"/>
          <w:highlight w:val="none"/>
        </w:rPr>
        <w:t>使用内标校正进样误差。因此，通过</w:t>
      </w:r>
      <w:r>
        <w:rPr>
          <w:i/>
          <w:kern w:val="0"/>
          <w:szCs w:val="21"/>
          <w:highlight w:val="none"/>
        </w:rPr>
        <w:t>A/A</w:t>
      </w:r>
      <w:r>
        <w:rPr>
          <w:kern w:val="0"/>
          <w:szCs w:val="21"/>
          <w:highlight w:val="none"/>
          <w:vertAlign w:val="subscript"/>
        </w:rPr>
        <w:t>IS</w:t>
      </w:r>
      <w:r>
        <w:rPr>
          <w:kern w:val="0"/>
          <w:szCs w:val="21"/>
          <w:highlight w:val="none"/>
        </w:rPr>
        <w:t>计算响应因子或比率。</w:t>
      </w:r>
    </w:p>
    <w:p>
      <w:pPr>
        <w:ind w:firstLine="420" w:firstLineChars="200"/>
        <w:rPr>
          <w:kern w:val="0"/>
          <w:szCs w:val="21"/>
          <w:highlight w:val="none"/>
        </w:rPr>
      </w:pPr>
      <w:r>
        <w:rPr>
          <w:kern w:val="0"/>
          <w:szCs w:val="21"/>
          <w:highlight w:val="none"/>
        </w:rPr>
        <w:t>为了得到校准直线，根据浓度比率</w:t>
      </w:r>
      <w:r>
        <w:rPr>
          <w:i/>
          <w:kern w:val="0"/>
          <w:szCs w:val="21"/>
          <w:highlight w:val="none"/>
        </w:rPr>
        <w:t>C/C</w:t>
      </w:r>
      <w:r>
        <w:rPr>
          <w:kern w:val="0"/>
          <w:szCs w:val="21"/>
          <w:highlight w:val="none"/>
          <w:vertAlign w:val="subscript"/>
        </w:rPr>
        <w:t>IS</w:t>
      </w:r>
      <w:r>
        <w:rPr>
          <w:kern w:val="0"/>
          <w:szCs w:val="21"/>
          <w:highlight w:val="none"/>
        </w:rPr>
        <w:t>绘制</w:t>
      </w:r>
      <w:r>
        <w:rPr>
          <w:i/>
          <w:smallCaps/>
          <w:kern w:val="0"/>
          <w:szCs w:val="21"/>
          <w:highlight w:val="none"/>
        </w:rPr>
        <w:t>A/</w:t>
      </w:r>
      <w:r>
        <w:rPr>
          <w:i/>
          <w:kern w:val="0"/>
          <w:szCs w:val="21"/>
          <w:highlight w:val="none"/>
        </w:rPr>
        <w:t>A</w:t>
      </w:r>
      <w:r>
        <w:rPr>
          <w:kern w:val="0"/>
          <w:szCs w:val="21"/>
          <w:highlight w:val="none"/>
          <w:vertAlign w:val="subscript"/>
        </w:rPr>
        <w:t>IS</w:t>
      </w:r>
      <w:r>
        <w:rPr>
          <w:kern w:val="0"/>
          <w:szCs w:val="21"/>
          <w:highlight w:val="none"/>
        </w:rPr>
        <w:t>图。</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9 HBCDD浓度计算</w:t>
      </w:r>
    </w:p>
    <w:p>
      <w:pPr>
        <w:pStyle w:val="47"/>
      </w:pPr>
      <w:bookmarkStart w:id="26" w:name="bookmark16"/>
      <w:r>
        <w:t>9.1 总述</w:t>
      </w:r>
      <w:bookmarkEnd w:id="26"/>
    </w:p>
    <w:p>
      <w:pPr>
        <w:ind w:firstLine="420" w:firstLineChars="200"/>
        <w:rPr>
          <w:kern w:val="0"/>
          <w:szCs w:val="21"/>
          <w:highlight w:val="none"/>
        </w:rPr>
      </w:pPr>
      <w:r>
        <w:rPr>
          <w:rFonts w:hint="eastAsia"/>
          <w:kern w:val="0"/>
          <w:szCs w:val="21"/>
        </w:rPr>
        <w:t>如果样品中未检出H</w:t>
      </w:r>
      <w:r>
        <w:rPr>
          <w:kern w:val="0"/>
          <w:szCs w:val="21"/>
        </w:rPr>
        <w:t>BCDD</w:t>
      </w:r>
      <w:r>
        <w:rPr>
          <w:rFonts w:hint="eastAsia"/>
          <w:kern w:val="0"/>
          <w:szCs w:val="21"/>
        </w:rPr>
        <w:t>化合物</w:t>
      </w:r>
      <w:r>
        <w:rPr>
          <w:rFonts w:hint="eastAsia"/>
          <w:kern w:val="0"/>
          <w:szCs w:val="21"/>
          <w:highlight w:val="none"/>
        </w:rPr>
        <w:t>，应报告α-六溴环十二烷、β-六溴环十二烷和γ-六溴环十二烷</w:t>
      </w:r>
      <w:r>
        <w:rPr>
          <w:rFonts w:hint="eastAsia"/>
          <w:kern w:val="0"/>
          <w:szCs w:val="21"/>
          <w:highlight w:val="none"/>
          <w:lang w:val="en-US" w:eastAsia="zh-CN"/>
        </w:rPr>
        <w:t>中</w:t>
      </w:r>
      <w:r>
        <w:rPr>
          <w:rFonts w:hint="eastAsia"/>
          <w:kern w:val="0"/>
          <w:szCs w:val="21"/>
          <w:highlight w:val="none"/>
        </w:rPr>
        <w:t>方法检出限</w:t>
      </w:r>
      <w:r>
        <w:rPr>
          <w:rFonts w:hint="eastAsia"/>
          <w:kern w:val="0"/>
          <w:szCs w:val="21"/>
          <w:highlight w:val="none"/>
          <w:lang w:val="en-US" w:eastAsia="zh-CN"/>
        </w:rPr>
        <w:t>的最高值</w:t>
      </w:r>
      <w:r>
        <w:rPr>
          <w:rFonts w:hint="eastAsia"/>
          <w:kern w:val="0"/>
          <w:szCs w:val="21"/>
          <w:highlight w:val="none"/>
        </w:rPr>
        <w:t>作为H</w:t>
      </w:r>
      <w:r>
        <w:rPr>
          <w:kern w:val="0"/>
          <w:szCs w:val="21"/>
          <w:highlight w:val="none"/>
        </w:rPr>
        <w:t>BCDD</w:t>
      </w:r>
      <w:r>
        <w:rPr>
          <w:rFonts w:hint="eastAsia"/>
          <w:kern w:val="0"/>
          <w:szCs w:val="21"/>
          <w:highlight w:val="none"/>
        </w:rPr>
        <w:t>的检出限。</w:t>
      </w:r>
    </w:p>
    <w:p>
      <w:pPr>
        <w:pStyle w:val="47"/>
      </w:pPr>
      <w:bookmarkStart w:id="27" w:name="bookmark17"/>
      <w:r>
        <w:t>9.2 计算</w:t>
      </w:r>
      <w:bookmarkEnd w:id="27"/>
    </w:p>
    <w:p>
      <w:pPr>
        <w:ind w:firstLine="420" w:firstLineChars="200"/>
        <w:rPr>
          <w:kern w:val="0"/>
          <w:szCs w:val="21"/>
        </w:rPr>
      </w:pPr>
      <w:r>
        <w:rPr>
          <w:kern w:val="0"/>
          <w:szCs w:val="21"/>
        </w:rPr>
        <w:t>可以依据</w:t>
      </w:r>
      <w:r>
        <w:rPr>
          <w:rFonts w:hint="eastAsia"/>
          <w:kern w:val="0"/>
          <w:szCs w:val="21"/>
          <w:lang w:eastAsia="zh-CN"/>
        </w:rPr>
        <w:t>公式</w:t>
      </w:r>
      <w:r>
        <w:rPr>
          <w:kern w:val="0"/>
          <w:szCs w:val="21"/>
        </w:rPr>
        <w:t>（2）计算样品中的HBCDD最终浓度：</w:t>
      </w:r>
    </w:p>
    <w:p>
      <w:pPr>
        <w:ind w:firstLine="420" w:firstLineChars="200"/>
        <w:rPr>
          <w:kern w:val="0"/>
          <w:szCs w:val="21"/>
        </w:rPr>
      </w:pPr>
      <w:r>
        <w:rPr>
          <w:kern w:val="0"/>
          <w:szCs w:val="21"/>
        </w:rPr>
        <w:t>对于线性拟合，该方程形式如下：</w:t>
      </w:r>
    </w:p>
    <w:p>
      <w:pPr>
        <w:tabs>
          <w:tab w:val="left" w:pos="4678"/>
        </w:tabs>
        <w:adjustRightInd w:val="0"/>
        <w:snapToGrid w:val="0"/>
        <w:spacing w:before="156" w:beforeLines="50" w:after="156" w:afterLines="50"/>
        <w:jc w:val="right"/>
        <w:rPr>
          <w:iCs/>
          <w:color w:val="000000"/>
          <w:kern w:val="0"/>
          <w:szCs w:val="21"/>
          <w:lang w:bidi="en-US"/>
        </w:rPr>
      </w:pPr>
      <w:r>
        <w:rPr>
          <w:rFonts w:hint="eastAsia" w:ascii="Cambria Math" w:hAnsi="Cambria Math"/>
          <w:b w:val="0"/>
          <w:i w:val="0"/>
          <w:color w:val="000000"/>
          <w:kern w:val="0"/>
          <w:szCs w:val="21"/>
          <w:lang w:val="en-US" w:eastAsia="zh-CN" w:bidi="en-US"/>
        </w:rPr>
        <w:t xml:space="preserve">             </w:t>
      </w:r>
      <w:r>
        <w:rPr>
          <w:rFonts w:ascii="Cambria Math" w:hAnsi="Cambria Math"/>
          <w:b w:val="0"/>
          <w:i w:val="0"/>
          <w:color w:val="000000"/>
          <w:kern w:val="0"/>
          <w:position w:val="-10"/>
          <w:szCs w:val="21"/>
          <w:lang w:bidi="en-US"/>
        </w:rPr>
        <w:object>
          <v:shape id="_x0000_i1026" o:spt="75" type="#_x0000_t75" style="height:16pt;width:51pt;" o:ole="t" filled="f" o:preferrelative="t" stroked="f" coordsize="21600,21600">
            <v:path/>
            <v:fill on="f" focussize="0,0"/>
            <v:stroke on="f"/>
            <v:imagedata r:id="rId18" o:title=""/>
            <o:lock v:ext="edit" aspectratio="t"/>
            <w10:wrap type="none"/>
            <w10:anchorlock/>
          </v:shape>
          <o:OLEObject Type="Embed" ProgID="Equation.KSEE3" ShapeID="_x0000_i1026" DrawAspect="Content" ObjectID="_1468075726" r:id="rId17">
            <o:LockedField>false</o:LockedField>
          </o:OLEObject>
        </w:object>
      </w:r>
      <w:r>
        <w:rPr>
          <w:iCs/>
          <w:color w:val="000000"/>
          <w:kern w:val="0"/>
          <w:szCs w:val="21"/>
          <w:lang w:bidi="en-US"/>
        </w:rPr>
        <w:tab/>
      </w:r>
      <w:r>
        <w:rPr>
          <w:rStyle w:val="178"/>
          <w:rFonts w:hint="eastAsia" w:ascii="Times New Roman" w:hAnsi="Times New Roman" w:eastAsia="宋体" w:cs="Times New Roman"/>
          <w:color w:val="000000"/>
          <w:sz w:val="21"/>
          <w:szCs w:val="21"/>
          <w:highlight w:val="none"/>
          <w:lang w:val="en-US" w:eastAsia="zh-CN"/>
        </w:rPr>
        <w:t>...............................（2）</w:t>
      </w:r>
    </w:p>
    <w:p>
      <w:pPr>
        <w:ind w:firstLine="420" w:firstLineChars="200"/>
        <w:rPr>
          <w:kern w:val="0"/>
          <w:szCs w:val="21"/>
        </w:rPr>
      </w:pPr>
      <w:r>
        <w:rPr>
          <w:kern w:val="0"/>
          <w:szCs w:val="21"/>
        </w:rPr>
        <w:t>式中：</w:t>
      </w:r>
    </w:p>
    <w:p>
      <w:pPr>
        <w:ind w:firstLine="420" w:firstLineChars="200"/>
        <w:rPr>
          <w:kern w:val="0"/>
          <w:szCs w:val="21"/>
        </w:rPr>
      </w:pPr>
      <w:r>
        <w:rPr>
          <w:kern w:val="0"/>
          <w:szCs w:val="21"/>
        </w:rPr>
        <w:t>y</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样品中HBCDD的相响应因子或比率（</w:t>
      </w:r>
      <w:r>
        <w:rPr>
          <w:i/>
          <w:iCs/>
          <w:smallCaps/>
          <w:kern w:val="0"/>
          <w:szCs w:val="21"/>
        </w:rPr>
        <w:t>A/A</w:t>
      </w:r>
      <w:r>
        <w:rPr>
          <w:i/>
          <w:iCs/>
          <w:kern w:val="0"/>
          <w:szCs w:val="21"/>
          <w:vertAlign w:val="subscript"/>
        </w:rPr>
        <w:t>IS</w:t>
      </w:r>
      <w:r>
        <w:rPr>
          <w:kern w:val="0"/>
          <w:szCs w:val="21"/>
        </w:rPr>
        <w:t xml:space="preserve">）； </w:t>
      </w:r>
    </w:p>
    <w:p>
      <w:pPr>
        <w:ind w:firstLine="420" w:firstLineChars="200"/>
        <w:rPr>
          <w:iCs/>
          <w:kern w:val="0"/>
          <w:szCs w:val="21"/>
        </w:rPr>
      </w:pPr>
      <w:r>
        <w:rPr>
          <w:iCs/>
          <w:kern w:val="0"/>
          <w:szCs w:val="21"/>
        </w:rPr>
        <w:t>a</w:t>
      </w:r>
      <w:r>
        <w:rPr>
          <w:rFonts w:hint="eastAsia"/>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与</w:t>
      </w:r>
      <w:r>
        <w:rPr>
          <w:rFonts w:hint="eastAsia"/>
          <w:iCs/>
          <w:kern w:val="0"/>
          <w:szCs w:val="21"/>
          <w:lang w:eastAsia="zh-CN"/>
        </w:rPr>
        <w:t>公式</w:t>
      </w:r>
      <w:r>
        <w:rPr>
          <w:iCs/>
          <w:kern w:val="0"/>
          <w:szCs w:val="21"/>
        </w:rPr>
        <w:t>（1）所得校准值拟合最佳的直线斜率；</w:t>
      </w:r>
    </w:p>
    <w:p>
      <w:pPr>
        <w:ind w:firstLine="420" w:firstLineChars="200"/>
        <w:rPr>
          <w:iCs/>
          <w:kern w:val="0"/>
          <w:szCs w:val="21"/>
          <w:highlight w:val="none"/>
        </w:rPr>
      </w:pPr>
      <w:r>
        <w:rPr>
          <w:i/>
          <w:iCs/>
          <w:kern w:val="0"/>
          <w:szCs w:val="21"/>
        </w:rPr>
        <w:t xml:space="preserve">x </w:t>
      </w:r>
      <w:r>
        <w:rPr>
          <w:rStyle w:val="207"/>
          <w:rFonts w:ascii="Times New Roman" w:hAnsi="Times New Roman" w:cs="Times New Roman" w:eastAsiaTheme="minorEastAsia"/>
          <w:color w:val="000000"/>
          <w:sz w:val="18"/>
          <w:szCs w:val="18"/>
        </w:rPr>
        <w:t>——</w:t>
      </w:r>
      <w:r>
        <w:rPr>
          <w:iCs/>
          <w:kern w:val="0"/>
          <w:szCs w:val="21"/>
        </w:rPr>
        <w:t>仪器</w:t>
      </w:r>
      <w:r>
        <w:rPr>
          <w:rFonts w:hint="eastAsia"/>
          <w:iCs/>
          <w:kern w:val="0"/>
          <w:szCs w:val="21"/>
          <w:lang w:val="en-US" w:eastAsia="zh-CN"/>
        </w:rPr>
        <w:t>的测定</w:t>
      </w:r>
      <w:r>
        <w:rPr>
          <w:iCs/>
          <w:kern w:val="0"/>
          <w:szCs w:val="21"/>
        </w:rPr>
        <w:t>结果（</w:t>
      </w:r>
      <w:r>
        <w:rPr>
          <w:i/>
          <w:iCs w:val="0"/>
          <w:kern w:val="0"/>
          <w:szCs w:val="21"/>
        </w:rPr>
        <w:t>C/C</w:t>
      </w:r>
      <w:r>
        <w:rPr>
          <w:i/>
          <w:iCs w:val="0"/>
          <w:kern w:val="0"/>
          <w:szCs w:val="21"/>
          <w:vertAlign w:val="subscript"/>
        </w:rPr>
        <w:t>IS</w:t>
      </w:r>
      <w:r>
        <w:rPr>
          <w:iCs/>
          <w:kern w:val="0"/>
          <w:szCs w:val="21"/>
        </w:rPr>
        <w:t>，通常</w:t>
      </w:r>
      <w:r>
        <w:rPr>
          <w:i/>
          <w:iCs w:val="0"/>
          <w:kern w:val="0"/>
          <w:szCs w:val="21"/>
        </w:rPr>
        <w:t>C</w:t>
      </w:r>
      <w:r>
        <w:rPr>
          <w:i/>
          <w:iCs w:val="0"/>
          <w:kern w:val="0"/>
          <w:szCs w:val="21"/>
          <w:vertAlign w:val="subscript"/>
        </w:rPr>
        <w:t>IS</w:t>
      </w:r>
      <w:r>
        <w:rPr>
          <w:rFonts w:hint="eastAsia"/>
          <w:i/>
          <w:iCs w:val="0"/>
          <w:kern w:val="0"/>
          <w:szCs w:val="21"/>
          <w:vertAlign w:val="subscript"/>
          <w:lang w:val="en-US" w:eastAsia="zh-CN"/>
        </w:rPr>
        <w:t xml:space="preserve"> </w:t>
      </w:r>
      <w:r>
        <w:rPr>
          <w:rFonts w:hint="eastAsia"/>
          <w:iCs/>
          <w:kern w:val="0"/>
          <w:szCs w:val="21"/>
          <w:lang w:val="en-US" w:eastAsia="zh-CN"/>
        </w:rPr>
        <w:t xml:space="preserve">= </w:t>
      </w:r>
      <w:r>
        <w:rPr>
          <w:iCs/>
          <w:kern w:val="0"/>
          <w:szCs w:val="21"/>
        </w:rPr>
        <w:t>1），单位是</w:t>
      </w:r>
      <w:r>
        <w:rPr>
          <w:rFonts w:hint="eastAsia"/>
          <w:iCs/>
          <w:kern w:val="0"/>
          <w:szCs w:val="21"/>
          <w:lang w:val="en-US" w:eastAsia="zh-CN"/>
        </w:rPr>
        <w:t>微克每毫升（</w:t>
      </w:r>
      <w:r>
        <w:rPr>
          <w:iCs/>
          <w:kern w:val="0"/>
          <w:szCs w:val="21"/>
        </w:rPr>
        <w:t>μg/</w:t>
      </w:r>
      <w:r>
        <w:rPr>
          <w:rFonts w:hint="eastAsia"/>
          <w:iCs/>
          <w:kern w:val="0"/>
          <w:szCs w:val="21"/>
          <w:lang w:eastAsia="zh-CN"/>
        </w:rPr>
        <w:t>mL）</w:t>
      </w:r>
      <w:r>
        <w:rPr>
          <w:iCs/>
          <w:kern w:val="0"/>
          <w:szCs w:val="21"/>
          <w:highlight w:val="none"/>
        </w:rPr>
        <w:t>（提取</w:t>
      </w:r>
      <w:r>
        <w:rPr>
          <w:rFonts w:hint="eastAsia"/>
          <w:iCs/>
          <w:kern w:val="0"/>
          <w:szCs w:val="21"/>
          <w:highlight w:val="none"/>
          <w:lang w:val="en-US" w:eastAsia="zh-CN"/>
        </w:rPr>
        <w:t>溶液</w:t>
      </w:r>
      <w:r>
        <w:rPr>
          <w:iCs/>
          <w:kern w:val="0"/>
          <w:szCs w:val="21"/>
          <w:highlight w:val="none"/>
        </w:rPr>
        <w:t>中同</w:t>
      </w:r>
      <w:r>
        <w:rPr>
          <w:rFonts w:hint="eastAsia"/>
          <w:iCs/>
          <w:kern w:val="0"/>
          <w:szCs w:val="21"/>
          <w:highlight w:val="none"/>
          <w:lang w:val="en-US" w:eastAsia="zh-CN"/>
        </w:rPr>
        <w:t>分异构体的</w:t>
      </w:r>
      <w:r>
        <w:rPr>
          <w:iCs/>
          <w:kern w:val="0"/>
          <w:szCs w:val="21"/>
          <w:highlight w:val="none"/>
        </w:rPr>
        <w:t>浓度）；</w:t>
      </w:r>
    </w:p>
    <w:p>
      <w:pPr>
        <w:ind w:firstLine="420" w:firstLineChars="200"/>
        <w:rPr>
          <w:iCs/>
          <w:kern w:val="0"/>
          <w:szCs w:val="21"/>
        </w:rPr>
      </w:pPr>
      <w:r>
        <w:rPr>
          <w:i/>
          <w:iCs/>
          <w:kern w:val="0"/>
          <w:szCs w:val="21"/>
        </w:rPr>
        <w:t>b</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响应因子等于0时的y截距或浓度，根据</w:t>
      </w:r>
      <w:r>
        <w:rPr>
          <w:rFonts w:hint="eastAsia"/>
          <w:iCs/>
          <w:kern w:val="0"/>
          <w:szCs w:val="21"/>
          <w:lang w:eastAsia="zh-CN"/>
        </w:rPr>
        <w:t>公式</w:t>
      </w:r>
      <w:r>
        <w:rPr>
          <w:iCs/>
          <w:kern w:val="0"/>
          <w:szCs w:val="21"/>
        </w:rPr>
        <w:t>（1）计算得出。</w:t>
      </w:r>
    </w:p>
    <w:p>
      <w:pPr>
        <w:ind w:firstLine="420" w:firstLineChars="200"/>
        <w:rPr>
          <w:kern w:val="0"/>
          <w:szCs w:val="21"/>
        </w:rPr>
      </w:pPr>
      <w:r>
        <w:rPr>
          <w:rFonts w:hint="eastAsia"/>
          <w:kern w:val="0"/>
          <w:szCs w:val="21"/>
          <w:lang w:val="en-US" w:eastAsia="zh-CN"/>
        </w:rPr>
        <w:t>对</w:t>
      </w:r>
      <w:r>
        <w:rPr>
          <w:kern w:val="0"/>
          <w:szCs w:val="21"/>
        </w:rPr>
        <w:t>方程</w:t>
      </w:r>
      <w:r>
        <w:rPr>
          <w:rFonts w:hint="eastAsia"/>
          <w:kern w:val="0"/>
          <w:szCs w:val="21"/>
          <w:lang w:val="en-US" w:eastAsia="zh-CN"/>
        </w:rPr>
        <w:t>进行</w:t>
      </w:r>
      <w:r>
        <w:rPr>
          <w:kern w:val="0"/>
          <w:szCs w:val="21"/>
        </w:rPr>
        <w:t>二次拟合</w:t>
      </w:r>
      <w:r>
        <w:rPr>
          <w:rFonts w:hint="eastAsia"/>
          <w:kern w:val="0"/>
          <w:szCs w:val="21"/>
          <w:lang w:val="en-US" w:eastAsia="zh-CN"/>
        </w:rPr>
        <w:t>,得到式</w:t>
      </w:r>
      <w:r>
        <w:rPr>
          <w:kern w:val="0"/>
          <w:szCs w:val="21"/>
        </w:rPr>
        <w:t>（3）：</w:t>
      </w:r>
    </w:p>
    <w:p>
      <w:pPr>
        <w:tabs>
          <w:tab w:val="left" w:pos="4678"/>
        </w:tabs>
        <w:adjustRightInd w:val="0"/>
        <w:snapToGrid w:val="0"/>
        <w:spacing w:before="156" w:beforeLines="50" w:after="156" w:afterLines="50"/>
        <w:jc w:val="right"/>
        <w:rPr>
          <w:rStyle w:val="178"/>
          <w:rFonts w:hint="eastAsia" w:ascii="Times New Roman" w:hAnsi="Times New Roman" w:eastAsia="宋体" w:cs="Times New Roman"/>
          <w:color w:val="000000"/>
          <w:sz w:val="21"/>
          <w:szCs w:val="21"/>
          <w:highlight w:val="none"/>
          <w:lang w:val="en-US" w:eastAsia="zh-CN"/>
        </w:rPr>
      </w:pPr>
      <w:r>
        <w:rPr>
          <w:rFonts w:hint="eastAsia" w:ascii="Cambria Math" w:hAnsi="Cambria Math"/>
          <w:i w:val="0"/>
          <w:color w:val="000000"/>
          <w:kern w:val="0"/>
          <w:szCs w:val="21"/>
          <w:lang w:val="en-US" w:eastAsia="zh-CN" w:bidi="en-US"/>
        </w:rPr>
        <w:t xml:space="preserve">    </w:t>
      </w:r>
      <w:r>
        <w:rPr>
          <w:rFonts w:hint="eastAsia" w:ascii="Cambria Math" w:hAnsi="Cambria Math"/>
          <w:i w:val="0"/>
          <w:color w:val="000000"/>
          <w:kern w:val="0"/>
          <w:position w:val="-10"/>
          <w:szCs w:val="21"/>
          <w:lang w:val="en-US" w:eastAsia="zh-CN" w:bidi="en-US"/>
        </w:rPr>
        <w:object>
          <v:shape id="_x0000_i1027" o:spt="75" type="#_x0000_t75" style="height:18pt;width:78pt;" o:ole="t" filled="f" o:preferrelative="t" stroked="f" coordsize="21600,21600">
            <v:path/>
            <v:fill on="f" focussize="0,0"/>
            <v:stroke on="f"/>
            <v:imagedata r:id="rId20" o:title=""/>
            <o:lock v:ext="edit" aspectratio="t"/>
            <w10:wrap type="none"/>
            <w10:anchorlock/>
          </v:shape>
          <o:OLEObject Type="Embed" ProgID="Equation.KSEE3" ShapeID="_x0000_i1027" DrawAspect="Content" ObjectID="_1468075727" r:id="rId19">
            <o:LockedField>false</o:LockedField>
          </o:OLEObject>
        </w:object>
      </w:r>
      <w:r>
        <w:rPr>
          <w:rFonts w:hint="eastAsia" w:ascii="Cambria Math" w:hAnsi="Cambria Math"/>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...............................（3）</w:t>
      </w:r>
    </w:p>
    <w:p>
      <w:pPr>
        <w:tabs>
          <w:tab w:val="left" w:pos="4678"/>
        </w:tabs>
        <w:adjustRightInd w:val="0"/>
        <w:snapToGrid w:val="0"/>
        <w:spacing w:before="156" w:beforeLines="50" w:after="156" w:afterLines="50"/>
        <w:ind w:firstLine="420" w:firstLineChars="200"/>
        <w:jc w:val="left"/>
        <w:rPr>
          <w:kern w:val="0"/>
          <w:szCs w:val="21"/>
        </w:rPr>
      </w:pPr>
      <w:r>
        <w:rPr>
          <w:kern w:val="0"/>
          <w:szCs w:val="21"/>
        </w:rPr>
        <w:t>式中：</w:t>
      </w:r>
    </w:p>
    <w:p>
      <w:pPr>
        <w:ind w:firstLine="420" w:firstLineChars="200"/>
        <w:rPr>
          <w:kern w:val="0"/>
          <w:szCs w:val="21"/>
        </w:rPr>
      </w:pPr>
      <w:r>
        <w:rPr>
          <w:i/>
          <w:iCs/>
          <w:kern w:val="0"/>
          <w:szCs w:val="21"/>
        </w:rPr>
        <w:t>y</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样品中HBCDD的响应因子或比率（A/A</w:t>
      </w:r>
      <w:r>
        <w:rPr>
          <w:kern w:val="0"/>
          <w:szCs w:val="21"/>
          <w:vertAlign w:val="subscript"/>
        </w:rPr>
        <w:t>IS</w:t>
      </w:r>
      <w:r>
        <w:rPr>
          <w:kern w:val="0"/>
          <w:szCs w:val="21"/>
        </w:rPr>
        <w:t>）；</w:t>
      </w:r>
    </w:p>
    <w:p>
      <w:pPr>
        <w:ind w:firstLine="420" w:firstLineChars="200"/>
        <w:rPr>
          <w:iCs/>
          <w:kern w:val="0"/>
          <w:szCs w:val="21"/>
        </w:rPr>
      </w:pPr>
      <w:r>
        <w:rPr>
          <w:i/>
          <w:iCs/>
          <w:kern w:val="0"/>
          <w:szCs w:val="21"/>
        </w:rPr>
        <w:t>a</w:t>
      </w:r>
      <w:r>
        <w:rPr>
          <w:iCs/>
          <w:kern w:val="0"/>
          <w:szCs w:val="21"/>
        </w:rPr>
        <w:t>和</w:t>
      </w:r>
      <w:r>
        <w:rPr>
          <w:i/>
          <w:iCs/>
          <w:kern w:val="0"/>
          <w:szCs w:val="21"/>
        </w:rPr>
        <w:t xml:space="preserve">b </w:t>
      </w:r>
      <w:r>
        <w:rPr>
          <w:rStyle w:val="207"/>
          <w:rFonts w:ascii="Times New Roman" w:hAnsi="Times New Roman" w:cs="Times New Roman" w:eastAsiaTheme="minorEastAsia"/>
          <w:color w:val="000000"/>
          <w:sz w:val="18"/>
          <w:szCs w:val="18"/>
        </w:rPr>
        <w:t>——</w:t>
      </w:r>
      <w:r>
        <w:rPr>
          <w:iCs/>
          <w:kern w:val="0"/>
          <w:szCs w:val="21"/>
        </w:rPr>
        <w:t>校准最佳拟合曲线的对应常数；</w:t>
      </w:r>
    </w:p>
    <w:p>
      <w:pPr>
        <w:ind w:firstLine="420" w:firstLineChars="200"/>
        <w:rPr>
          <w:kern w:val="0"/>
          <w:szCs w:val="21"/>
        </w:rPr>
      </w:pPr>
      <w:r>
        <w:rPr>
          <w:i/>
          <w:iCs/>
          <w:kern w:val="0"/>
          <w:szCs w:val="21"/>
        </w:rPr>
        <w:t>x</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仪器结果，单位为</w:t>
      </w:r>
      <w:r>
        <w:rPr>
          <w:rFonts w:hint="eastAsia"/>
          <w:kern w:val="0"/>
          <w:szCs w:val="21"/>
          <w:lang w:val="en-US" w:eastAsia="zh-CN"/>
        </w:rPr>
        <w:t>微克</w:t>
      </w:r>
      <w:r>
        <w:rPr>
          <w:rFonts w:hint="eastAsia"/>
          <w:iCs/>
          <w:kern w:val="0"/>
          <w:szCs w:val="21"/>
          <w:lang w:val="en-US" w:eastAsia="zh-CN"/>
        </w:rPr>
        <w:t>每毫</w:t>
      </w:r>
      <w:r>
        <w:rPr>
          <w:rFonts w:hint="eastAsia"/>
          <w:kern w:val="0"/>
          <w:szCs w:val="21"/>
          <w:lang w:val="en-US" w:eastAsia="zh-CN"/>
        </w:rPr>
        <w:t>升（</w:t>
      </w:r>
      <w:r>
        <w:rPr>
          <w:kern w:val="0"/>
          <w:szCs w:val="21"/>
        </w:rPr>
        <w:t>μg</w:t>
      </w:r>
      <w:r>
        <w:rPr>
          <w:rFonts w:hint="eastAsia"/>
          <w:kern w:val="0"/>
          <w:szCs w:val="21"/>
          <w:lang w:val="en-US" w:eastAsia="zh-CN"/>
        </w:rPr>
        <w:t>/mL）</w:t>
      </w:r>
      <w:r>
        <w:rPr>
          <w:rFonts w:hint="eastAsia"/>
          <w:iCs/>
          <w:kern w:val="0"/>
          <w:szCs w:val="21"/>
          <w:lang w:val="en-US" w:eastAsia="zh-CN"/>
        </w:rPr>
        <w:t>（</w:t>
      </w:r>
      <w:r>
        <w:rPr>
          <w:kern w:val="0"/>
          <w:szCs w:val="21"/>
        </w:rPr>
        <w:t>提取</w:t>
      </w:r>
      <w:r>
        <w:rPr>
          <w:rFonts w:hint="eastAsia"/>
          <w:kern w:val="0"/>
          <w:szCs w:val="21"/>
          <w:lang w:val="en-US" w:eastAsia="zh-CN"/>
        </w:rPr>
        <w:t>溶液</w:t>
      </w:r>
      <w:r>
        <w:rPr>
          <w:kern w:val="0"/>
          <w:szCs w:val="21"/>
        </w:rPr>
        <w:t>中HBCDD的浓度）；</w:t>
      </w:r>
    </w:p>
    <w:p>
      <w:pPr>
        <w:ind w:firstLine="420" w:firstLineChars="200"/>
        <w:rPr>
          <w:kern w:val="0"/>
          <w:szCs w:val="21"/>
        </w:rPr>
      </w:pPr>
      <w:r>
        <w:rPr>
          <w:i/>
          <w:iCs/>
          <w:kern w:val="0"/>
          <w:szCs w:val="21"/>
        </w:rPr>
        <w:t>c</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响应因子等于0时的y截距或浓度。</w:t>
      </w:r>
    </w:p>
    <w:p>
      <w:pPr>
        <w:ind w:firstLine="420" w:firstLineChars="200"/>
        <w:rPr>
          <w:kern w:val="0"/>
          <w:szCs w:val="21"/>
        </w:rPr>
      </w:pPr>
      <w:r>
        <w:rPr>
          <w:kern w:val="0"/>
          <w:szCs w:val="21"/>
        </w:rPr>
        <w:t>如果样品中的HBCDD浓</w:t>
      </w:r>
      <w:r>
        <w:rPr>
          <w:kern w:val="0"/>
          <w:szCs w:val="21"/>
          <w:highlight w:val="none"/>
        </w:rPr>
        <w:t>度不在校准</w:t>
      </w:r>
      <w:r>
        <w:rPr>
          <w:rFonts w:hint="eastAsia"/>
          <w:kern w:val="0"/>
          <w:szCs w:val="21"/>
          <w:highlight w:val="none"/>
          <w:lang w:val="en-US" w:eastAsia="zh-CN"/>
        </w:rPr>
        <w:t>曲线</w:t>
      </w:r>
      <w:r>
        <w:rPr>
          <w:kern w:val="0"/>
          <w:szCs w:val="21"/>
          <w:highlight w:val="none"/>
        </w:rPr>
        <w:t>范围内</w:t>
      </w:r>
      <w:r>
        <w:rPr>
          <w:kern w:val="0"/>
          <w:szCs w:val="21"/>
        </w:rPr>
        <w:t>，</w:t>
      </w:r>
      <w:r>
        <w:rPr>
          <w:rFonts w:hint="eastAsia"/>
          <w:kern w:val="0"/>
          <w:szCs w:val="21"/>
          <w:lang w:val="en-US" w:eastAsia="zh-CN"/>
        </w:rPr>
        <w:t>则</w:t>
      </w:r>
      <w:r>
        <w:rPr>
          <w:kern w:val="0"/>
          <w:szCs w:val="21"/>
        </w:rPr>
        <w:t>应制备</w:t>
      </w:r>
      <w:r>
        <w:rPr>
          <w:rFonts w:hint="eastAsia"/>
          <w:kern w:val="0"/>
          <w:szCs w:val="21"/>
          <w:lang w:val="en-US" w:eastAsia="zh-CN"/>
        </w:rPr>
        <w:t>系列样品</w:t>
      </w:r>
      <w:r>
        <w:rPr>
          <w:kern w:val="0"/>
          <w:szCs w:val="21"/>
        </w:rPr>
        <w:t>稀释</w:t>
      </w:r>
      <w:r>
        <w:rPr>
          <w:rFonts w:hint="eastAsia"/>
          <w:kern w:val="0"/>
          <w:szCs w:val="21"/>
          <w:lang w:val="en-US" w:eastAsia="zh-CN"/>
        </w:rPr>
        <w:t>液</w:t>
      </w:r>
      <w:r>
        <w:rPr>
          <w:kern w:val="0"/>
          <w:szCs w:val="21"/>
        </w:rPr>
        <w:t>，</w:t>
      </w:r>
      <w:r>
        <w:rPr>
          <w:kern w:val="0"/>
          <w:szCs w:val="21"/>
          <w:highlight w:val="none"/>
        </w:rPr>
        <w:t>使HBCDD浓度</w:t>
      </w:r>
      <w:r>
        <w:rPr>
          <w:rFonts w:hint="eastAsia"/>
          <w:kern w:val="0"/>
          <w:szCs w:val="21"/>
          <w:highlight w:val="none"/>
          <w:lang w:val="en-US" w:eastAsia="zh-CN"/>
        </w:rPr>
        <w:t>落</w:t>
      </w:r>
      <w:r>
        <w:rPr>
          <w:kern w:val="0"/>
          <w:szCs w:val="21"/>
          <w:highlight w:val="none"/>
        </w:rPr>
        <w:t>在校准</w:t>
      </w:r>
      <w:r>
        <w:rPr>
          <w:rFonts w:hint="eastAsia"/>
          <w:kern w:val="0"/>
          <w:szCs w:val="21"/>
          <w:highlight w:val="none"/>
          <w:lang w:val="en-US" w:eastAsia="zh-CN"/>
        </w:rPr>
        <w:t>曲线</w:t>
      </w:r>
      <w:r>
        <w:rPr>
          <w:kern w:val="0"/>
          <w:szCs w:val="21"/>
          <w:highlight w:val="none"/>
        </w:rPr>
        <w:t>范围内。分析稀释液，同时使用稀释因子对原分析校准范围之外的H</w:t>
      </w:r>
      <w:r>
        <w:rPr>
          <w:kern w:val="0"/>
          <w:szCs w:val="21"/>
        </w:rPr>
        <w:t>BCDD浓度</w:t>
      </w:r>
      <w:r>
        <w:rPr>
          <w:rFonts w:hint="eastAsia"/>
          <w:kern w:val="0"/>
          <w:szCs w:val="21"/>
          <w:lang w:val="en-US" w:eastAsia="zh-CN"/>
        </w:rPr>
        <w:t>进行</w:t>
      </w:r>
      <w:r>
        <w:rPr>
          <w:kern w:val="0"/>
          <w:szCs w:val="21"/>
        </w:rPr>
        <w:t>定量。稀释因子（D）</w:t>
      </w:r>
      <w:r>
        <w:rPr>
          <w:rFonts w:hint="eastAsia"/>
          <w:kern w:val="0"/>
          <w:szCs w:val="21"/>
          <w:lang w:val="en-US" w:eastAsia="zh-CN"/>
        </w:rPr>
        <w:t>可由</w:t>
      </w:r>
      <w:r>
        <w:rPr>
          <w:kern w:val="0"/>
          <w:szCs w:val="21"/>
        </w:rPr>
        <w:t>稀释</w:t>
      </w:r>
      <w:r>
        <w:rPr>
          <w:rFonts w:hint="eastAsia"/>
          <w:kern w:val="0"/>
          <w:szCs w:val="21"/>
          <w:lang w:val="en-US" w:eastAsia="zh-CN"/>
        </w:rPr>
        <w:t>的最终</w:t>
      </w:r>
      <w:r>
        <w:rPr>
          <w:kern w:val="0"/>
          <w:szCs w:val="21"/>
        </w:rPr>
        <w:t>体积除以</w:t>
      </w:r>
      <w:r>
        <w:rPr>
          <w:rFonts w:hint="eastAsia"/>
          <w:kern w:val="0"/>
          <w:szCs w:val="21"/>
          <w:lang w:val="en-US" w:eastAsia="zh-CN"/>
        </w:rPr>
        <w:t>原溶液的</w:t>
      </w:r>
      <w:r>
        <w:rPr>
          <w:kern w:val="0"/>
          <w:szCs w:val="21"/>
        </w:rPr>
        <w:t>体积得</w:t>
      </w:r>
      <w:r>
        <w:rPr>
          <w:rFonts w:hint="eastAsia"/>
          <w:kern w:val="0"/>
          <w:szCs w:val="21"/>
          <w:lang w:val="en-US" w:eastAsia="zh-CN"/>
        </w:rPr>
        <w:t>到，见公式</w:t>
      </w:r>
      <w:r>
        <w:rPr>
          <w:kern w:val="0"/>
          <w:szCs w:val="21"/>
        </w:rPr>
        <w:t>（4）：</w:t>
      </w:r>
    </w:p>
    <w:p>
      <w:pPr>
        <w:tabs>
          <w:tab w:val="left" w:pos="4678"/>
        </w:tabs>
        <w:adjustRightInd w:val="0"/>
        <w:snapToGrid w:val="0"/>
        <w:spacing w:before="156" w:beforeLines="50" w:after="156" w:afterLines="50"/>
        <w:ind w:left="420" w:hanging="420" w:hangingChars="200"/>
        <w:jc w:val="left"/>
        <w:rPr>
          <w:kern w:val="0"/>
          <w:szCs w:val="21"/>
        </w:rPr>
      </w:pPr>
      <w:r>
        <w:rPr>
          <w:rFonts w:hint="eastAsia" w:ascii="Cambria Math" w:hAnsi="Cambria Math"/>
          <w:i w:val="0"/>
          <w:iCs/>
          <w:color w:val="000000"/>
          <w:kern w:val="0"/>
          <w:szCs w:val="21"/>
          <w:lang w:val="en-US" w:eastAsia="zh-CN" w:bidi="en-US"/>
        </w:rPr>
        <w:t xml:space="preserve">                                 </w:t>
      </w:r>
      <w:r>
        <w:rPr>
          <w:rFonts w:hint="eastAsia" w:ascii="Cambria Math" w:hAnsi="Cambria Math"/>
          <w:i w:val="0"/>
          <w:iCs/>
          <w:color w:val="000000"/>
          <w:kern w:val="0"/>
          <w:position w:val="-30"/>
          <w:szCs w:val="21"/>
          <w:lang w:val="en-US" w:eastAsia="zh-CN" w:bidi="en-US"/>
        </w:rPr>
        <w:object>
          <v:shape id="_x0000_i1028" o:spt="75" type="#_x0000_t75" style="height:36pt;width:39pt;" o:ole="t" filled="f" o:preferrelative="t" stroked="f" coordsize="21600,21600">
            <v:path/>
            <v:fill on="f" focussize="0,0"/>
            <v:stroke on="f"/>
            <v:imagedata r:id="rId22" o:title=""/>
            <o:lock v:ext="edit" aspectratio="t"/>
            <w10:wrap type="none"/>
            <w10:anchorlock/>
          </v:shape>
          <o:OLEObject Type="Embed" ProgID="Equation.KSEE3" ShapeID="_x0000_i1028" DrawAspect="Content" ObjectID="_1468075728" r:id="rId21">
            <o:LockedField>false</o:LockedField>
          </o:OLEObject>
        </w:object>
      </w:r>
      <w:r>
        <w:rPr>
          <w:rFonts w:hint="eastAsia" w:ascii="Cambria Math" w:hAnsi="Cambria Math"/>
          <w:i w:val="0"/>
          <w:iCs/>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color w:val="000000"/>
          <w:kern w:val="0"/>
          <w:szCs w:val="21"/>
          <w:lang w:val="en-US" w:eastAsia="zh-CN" w:bidi="en-US"/>
        </w:rPr>
        <w:t>4</w:t>
      </w:r>
      <w:r>
        <w:rPr>
          <w:rStyle w:val="178"/>
          <w:rFonts w:hint="eastAsia" w:ascii="Times New Roman" w:hAnsi="Times New Roman" w:eastAsia="宋体" w:cs="Times New Roman"/>
          <w:color w:val="000000"/>
          <w:sz w:val="21"/>
          <w:szCs w:val="21"/>
          <w:highlight w:val="none"/>
          <w:lang w:val="en-US" w:eastAsia="zh-CN"/>
        </w:rPr>
        <w:t>）</w:t>
      </w:r>
      <w:r>
        <w:rPr>
          <w:kern w:val="0"/>
          <w:szCs w:val="21"/>
        </w:rPr>
        <w:t>式中：</w:t>
      </w:r>
    </w:p>
    <w:p>
      <w:pPr>
        <w:ind w:firstLine="420" w:firstLineChars="200"/>
        <w:rPr>
          <w:iCs/>
          <w:kern w:val="0"/>
          <w:szCs w:val="21"/>
        </w:rPr>
      </w:pPr>
      <w:r>
        <w:rPr>
          <w:i/>
          <w:iCs/>
          <w:kern w:val="0"/>
          <w:szCs w:val="21"/>
        </w:rPr>
        <w:t>D</w:t>
      </w:r>
      <w:r>
        <w:rPr>
          <w:iCs/>
          <w:kern w:val="0"/>
          <w:szCs w:val="21"/>
        </w:rPr>
        <w:t xml:space="preserve"> </w:t>
      </w:r>
      <w:r>
        <w:rPr>
          <w:rStyle w:val="207"/>
          <w:rFonts w:ascii="Times New Roman" w:hAnsi="Times New Roman" w:cs="Times New Roman" w:eastAsiaTheme="minorEastAsia"/>
          <w:color w:val="000000"/>
          <w:sz w:val="18"/>
          <w:szCs w:val="18"/>
        </w:rPr>
        <w:t>——</w:t>
      </w:r>
      <w:r>
        <w:rPr>
          <w:iCs/>
          <w:kern w:val="0"/>
          <w:szCs w:val="21"/>
        </w:rPr>
        <w:t>稀释因子；</w:t>
      </w:r>
    </w:p>
    <w:p>
      <w:pPr>
        <w:ind w:firstLine="420" w:firstLineChars="200"/>
        <w:rPr>
          <w:iCs/>
          <w:kern w:val="0"/>
          <w:szCs w:val="21"/>
          <w:highlight w:val="none"/>
        </w:rPr>
      </w:pPr>
      <w:r>
        <w:rPr>
          <w:i/>
          <w:iCs/>
          <w:kern w:val="0"/>
          <w:szCs w:val="21"/>
        </w:rPr>
        <w:t>V</w:t>
      </w:r>
      <w:r>
        <w:rPr>
          <w:i/>
          <w:iCs/>
          <w:kern w:val="0"/>
          <w:szCs w:val="21"/>
          <w:vertAlign w:val="subscript"/>
        </w:rPr>
        <w:t>f</w:t>
      </w:r>
      <w:r>
        <w:rPr>
          <w:i/>
          <w:iCs/>
          <w:kern w:val="0"/>
          <w:szCs w:val="21"/>
        </w:rPr>
        <w:t xml:space="preserve"> </w:t>
      </w:r>
      <w:r>
        <w:rPr>
          <w:rStyle w:val="207"/>
          <w:rFonts w:ascii="Times New Roman" w:hAnsi="Times New Roman" w:cs="Times New Roman" w:eastAsiaTheme="minorEastAsia"/>
          <w:color w:val="000000"/>
          <w:sz w:val="18"/>
          <w:szCs w:val="18"/>
        </w:rPr>
        <w:t>——</w:t>
      </w:r>
      <w:r>
        <w:rPr>
          <w:iCs/>
          <w:kern w:val="0"/>
          <w:szCs w:val="21"/>
        </w:rPr>
        <w:t>稀释</w:t>
      </w:r>
      <w:r>
        <w:rPr>
          <w:rFonts w:hint="eastAsia"/>
          <w:iCs/>
          <w:kern w:val="0"/>
          <w:szCs w:val="21"/>
          <w:lang w:val="en-US" w:eastAsia="zh-CN"/>
        </w:rPr>
        <w:t>的</w:t>
      </w:r>
      <w:r>
        <w:rPr>
          <w:iCs/>
          <w:kern w:val="0"/>
          <w:szCs w:val="21"/>
        </w:rPr>
        <w:t>最终体积</w:t>
      </w:r>
      <w:r>
        <w:rPr>
          <w:iCs/>
          <w:kern w:val="0"/>
          <w:szCs w:val="21"/>
          <w:highlight w:val="none"/>
        </w:rPr>
        <w:t>，单位为</w:t>
      </w:r>
      <w:r>
        <w:rPr>
          <w:rFonts w:hint="eastAsia"/>
          <w:iCs/>
          <w:kern w:val="0"/>
          <w:szCs w:val="21"/>
          <w:highlight w:val="none"/>
          <w:lang w:val="en-US" w:eastAsia="zh-CN"/>
        </w:rPr>
        <w:t>毫升（</w:t>
      </w:r>
      <w:r>
        <w:rPr>
          <w:rFonts w:hint="eastAsia"/>
          <w:iCs/>
          <w:kern w:val="0"/>
          <w:szCs w:val="21"/>
          <w:highlight w:val="none"/>
          <w:lang w:eastAsia="zh-CN"/>
        </w:rPr>
        <w:t>mL）</w:t>
      </w:r>
      <w:r>
        <w:rPr>
          <w:iCs/>
          <w:kern w:val="0"/>
          <w:szCs w:val="21"/>
          <w:highlight w:val="none"/>
        </w:rPr>
        <w:t>；</w:t>
      </w:r>
    </w:p>
    <w:p>
      <w:pPr>
        <w:ind w:firstLine="420" w:firstLineChars="200"/>
        <w:rPr>
          <w:iCs/>
          <w:kern w:val="0"/>
          <w:szCs w:val="21"/>
          <w:highlight w:val="none"/>
        </w:rPr>
      </w:pPr>
      <w:r>
        <w:rPr>
          <w:i/>
          <w:iCs/>
          <w:kern w:val="0"/>
          <w:szCs w:val="21"/>
          <w:highlight w:val="none"/>
        </w:rPr>
        <w:t>V</w:t>
      </w:r>
      <w:r>
        <w:rPr>
          <w:i/>
          <w:iCs/>
          <w:kern w:val="0"/>
          <w:szCs w:val="21"/>
          <w:highlight w:val="none"/>
          <w:vertAlign w:val="subscript"/>
        </w:rPr>
        <w:t>a</w:t>
      </w:r>
      <w:r>
        <w:rPr>
          <w:iCs/>
          <w:kern w:val="0"/>
          <w:szCs w:val="21"/>
          <w:highlight w:val="none"/>
        </w:rPr>
        <w:t xml:space="preserve"> </w:t>
      </w:r>
      <w:r>
        <w:rPr>
          <w:rStyle w:val="207"/>
          <w:rFonts w:ascii="Times New Roman" w:hAnsi="Times New Roman" w:cs="Times New Roman" w:eastAsiaTheme="minorEastAsia"/>
          <w:color w:val="000000"/>
          <w:sz w:val="18"/>
          <w:szCs w:val="18"/>
          <w:highlight w:val="none"/>
        </w:rPr>
        <w:t>——</w:t>
      </w:r>
      <w:r>
        <w:rPr>
          <w:rFonts w:hint="eastAsia" w:eastAsiaTheme="minorEastAsia"/>
          <w:iCs/>
          <w:kern w:val="0"/>
          <w:szCs w:val="21"/>
          <w:highlight w:val="none"/>
          <w:lang w:val="en-US" w:eastAsia="zh-CN"/>
        </w:rPr>
        <w:t>稀释前原溶液</w:t>
      </w:r>
      <w:r>
        <w:rPr>
          <w:iCs/>
          <w:kern w:val="0"/>
          <w:szCs w:val="21"/>
          <w:highlight w:val="none"/>
        </w:rPr>
        <w:t>体积，单位为</w:t>
      </w:r>
      <w:r>
        <w:rPr>
          <w:rFonts w:hint="eastAsia"/>
          <w:iCs/>
          <w:kern w:val="0"/>
          <w:szCs w:val="21"/>
          <w:highlight w:val="none"/>
          <w:lang w:val="en-US" w:eastAsia="zh-CN"/>
        </w:rPr>
        <w:t>毫升（</w:t>
      </w:r>
      <w:r>
        <w:rPr>
          <w:rFonts w:hint="eastAsia"/>
          <w:iCs/>
          <w:kern w:val="0"/>
          <w:szCs w:val="21"/>
          <w:highlight w:val="none"/>
          <w:lang w:eastAsia="zh-CN"/>
        </w:rPr>
        <w:t>mL）</w:t>
      </w:r>
      <w:r>
        <w:rPr>
          <w:iCs/>
          <w:kern w:val="0"/>
          <w:szCs w:val="21"/>
          <w:highlight w:val="none"/>
        </w:rPr>
        <w:t>。</w:t>
      </w:r>
    </w:p>
    <w:p>
      <w:pPr>
        <w:ind w:firstLine="420" w:firstLineChars="200"/>
        <w:rPr>
          <w:kern w:val="0"/>
          <w:szCs w:val="21"/>
        </w:rPr>
      </w:pPr>
      <w:r>
        <w:rPr>
          <w:rFonts w:hint="eastAsia"/>
          <w:kern w:val="0"/>
          <w:szCs w:val="21"/>
          <w:lang w:eastAsia="zh-CN"/>
        </w:rPr>
        <w:t>公式</w:t>
      </w:r>
      <w:r>
        <w:rPr>
          <w:kern w:val="0"/>
          <w:szCs w:val="21"/>
        </w:rPr>
        <w:t>（2）是线性方程，可以改写为</w:t>
      </w:r>
      <w:r>
        <w:rPr>
          <w:rFonts w:hint="eastAsia"/>
          <w:kern w:val="0"/>
          <w:szCs w:val="21"/>
          <w:lang w:eastAsia="zh-CN"/>
        </w:rPr>
        <w:t>公式</w:t>
      </w:r>
      <w:r>
        <w:rPr>
          <w:kern w:val="0"/>
          <w:szCs w:val="21"/>
        </w:rPr>
        <w:t>（5）的形式：</w:t>
      </w:r>
    </w:p>
    <w:p>
      <w:pPr>
        <w:tabs>
          <w:tab w:val="left" w:pos="4678"/>
        </w:tabs>
        <w:adjustRightInd w:val="0"/>
        <w:snapToGrid w:val="0"/>
        <w:spacing w:before="156" w:beforeLines="50" w:after="156" w:afterLines="50"/>
        <w:jc w:val="center"/>
        <w:rPr>
          <w:color w:val="000000"/>
          <w:kern w:val="0"/>
          <w:szCs w:val="21"/>
          <w:lang w:bidi="en-US"/>
        </w:rPr>
      </w:pPr>
      <w:r>
        <w:rPr>
          <w:rFonts w:hint="eastAsia" w:ascii="Cambria Math" w:hAnsi="Cambria Math"/>
          <w:i/>
          <w:color w:val="000000"/>
          <w:kern w:val="0"/>
          <w:szCs w:val="21"/>
          <w:lang w:val="en-US" w:eastAsia="zh-CN" w:bidi="en-US"/>
        </w:rPr>
        <w:t xml:space="preserve">                           </w:t>
      </w:r>
      <w:r>
        <w:rPr>
          <w:rFonts w:ascii="Cambria Math" w:hAnsi="Cambria Math"/>
          <w:i/>
          <w:color w:val="000000"/>
          <w:kern w:val="0"/>
          <w:position w:val="-32"/>
          <w:szCs w:val="21"/>
          <w:lang w:bidi="en-US"/>
        </w:rPr>
        <w:object>
          <v:shape id="_x0000_i1029" o:spt="75" type="#_x0000_t75" style="height:38pt;width:108pt;" o:ole="t" filled="f" o:preferrelative="t" stroked="f" coordsize="21600,21600">
            <v:path/>
            <v:fill on="f" focussize="0,0"/>
            <v:stroke on="f"/>
            <v:imagedata r:id="rId24" o:title=""/>
            <o:lock v:ext="edit" aspectratio="t"/>
            <w10:wrap type="none"/>
            <w10:anchorlock/>
          </v:shape>
          <o:OLEObject Type="Embed" ProgID="Equation.KSEE3" ShapeID="_x0000_i1029" DrawAspect="Content" ObjectID="_1468075729" r:id="rId23">
            <o:LockedField>false</o:LockedField>
          </o:OLEObject>
        </w:object>
      </w:r>
      <w:r>
        <w:rPr>
          <w:rFonts w:hint="eastAsia" w:ascii="Cambria Math" w:hAnsi="Cambria Math"/>
          <w:i/>
          <w:color w:val="000000"/>
          <w:kern w:val="0"/>
          <w:szCs w:val="21"/>
          <w:lang w:val="en-US" w:eastAsia="zh-CN" w:bidi="en-US"/>
        </w:rPr>
        <w:t xml:space="preserve">  </w:t>
      </w:r>
      <w:r>
        <w:rPr>
          <w:rFonts w:hint="eastAsia" w:ascii="Cambria Math" w:hAnsi="Cambria Math"/>
          <w:i w:val="0"/>
          <w:iCs/>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color w:val="000000"/>
          <w:kern w:val="0"/>
          <w:szCs w:val="21"/>
          <w:lang w:val="en-US" w:eastAsia="zh-CN" w:bidi="en-US"/>
        </w:rPr>
        <w:t>5</w:t>
      </w:r>
      <w:r>
        <w:rPr>
          <w:rStyle w:val="178"/>
          <w:rFonts w:hint="eastAsia" w:ascii="Times New Roman" w:hAnsi="Times New Roman" w:eastAsia="宋体" w:cs="Times New Roman"/>
          <w:color w:val="000000"/>
          <w:sz w:val="21"/>
          <w:szCs w:val="21"/>
          <w:highlight w:val="none"/>
          <w:lang w:val="en-US" w:eastAsia="zh-CN"/>
        </w:rPr>
        <w:t>）</w:t>
      </w:r>
    </w:p>
    <w:p>
      <w:pPr>
        <w:ind w:firstLine="420" w:firstLineChars="200"/>
        <w:rPr>
          <w:kern w:val="0"/>
          <w:szCs w:val="21"/>
        </w:rPr>
      </w:pPr>
      <w:r>
        <w:rPr>
          <w:kern w:val="0"/>
          <w:szCs w:val="21"/>
        </w:rPr>
        <w:t>式中：</w:t>
      </w:r>
    </w:p>
    <w:p>
      <w:pPr>
        <w:ind w:firstLine="420" w:firstLineChars="200"/>
        <w:rPr>
          <w:iCs/>
          <w:kern w:val="0"/>
          <w:szCs w:val="21"/>
        </w:rPr>
      </w:pPr>
      <w:r>
        <w:rPr>
          <w:i/>
          <w:iCs/>
          <w:kern w:val="0"/>
          <w:szCs w:val="21"/>
        </w:rPr>
        <w:t>A</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HBCDD</w:t>
      </w:r>
      <w:r>
        <w:rPr>
          <w:iCs/>
          <w:kern w:val="0"/>
          <w:szCs w:val="21"/>
        </w:rPr>
        <w:t>峰面积；</w:t>
      </w:r>
    </w:p>
    <w:p>
      <w:pPr>
        <w:ind w:firstLine="420" w:firstLineChars="200"/>
        <w:rPr>
          <w:kern w:val="0"/>
          <w:szCs w:val="21"/>
        </w:rPr>
      </w:pPr>
      <w:r>
        <w:rPr>
          <w:i/>
          <w:iCs/>
          <w:kern w:val="0"/>
          <w:szCs w:val="21"/>
        </w:rPr>
        <w:t>A</w:t>
      </w:r>
      <w:r>
        <w:rPr>
          <w:i/>
          <w:iCs/>
          <w:kern w:val="0"/>
          <w:szCs w:val="21"/>
          <w:vertAlign w:val="subscript"/>
        </w:rPr>
        <w:t>IS</w:t>
      </w:r>
      <w:r>
        <w:rPr>
          <w:rStyle w:val="207"/>
          <w:rFonts w:ascii="Times New Roman" w:hAnsi="Times New Roman" w:cs="Times New Roman" w:eastAsiaTheme="minorEastAsia"/>
          <w:color w:val="000000"/>
          <w:sz w:val="18"/>
          <w:szCs w:val="18"/>
        </w:rPr>
        <w:t>——</w:t>
      </w:r>
      <w:r>
        <w:rPr>
          <w:kern w:val="0"/>
          <w:szCs w:val="21"/>
        </w:rPr>
        <w:t>内标峰面积；</w:t>
      </w:r>
    </w:p>
    <w:p>
      <w:pPr>
        <w:ind w:firstLine="420" w:firstLineChars="200"/>
        <w:rPr>
          <w:kern w:val="0"/>
          <w:szCs w:val="21"/>
          <w:highlight w:val="yellow"/>
        </w:rPr>
      </w:pPr>
      <w:r>
        <w:rPr>
          <w:i/>
          <w:iCs/>
          <w:kern w:val="0"/>
          <w:szCs w:val="21"/>
        </w:rPr>
        <w:t>C</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HBCDD的（中间）浓度，单位为</w:t>
      </w:r>
      <w:r>
        <w:rPr>
          <w:rFonts w:hint="eastAsia"/>
          <w:kern w:val="0"/>
          <w:szCs w:val="21"/>
          <w:lang w:val="en-US" w:eastAsia="zh-CN"/>
        </w:rPr>
        <w:t>微克每毫升（</w:t>
      </w:r>
      <w:r>
        <w:rPr>
          <w:kern w:val="0"/>
          <w:szCs w:val="21"/>
        </w:rPr>
        <w:t>μg</w:t>
      </w:r>
      <w:r>
        <w:rPr>
          <w:rFonts w:hint="eastAsia"/>
          <w:kern w:val="0"/>
          <w:szCs w:val="21"/>
          <w:lang w:val="en-US" w:eastAsia="zh-CN"/>
        </w:rPr>
        <w:t>/mL）；</w:t>
      </w:r>
    </w:p>
    <w:p>
      <w:pPr>
        <w:ind w:firstLine="420" w:firstLineChars="200"/>
        <w:rPr>
          <w:kern w:val="0"/>
          <w:szCs w:val="21"/>
          <w:highlight w:val="none"/>
        </w:rPr>
      </w:pPr>
      <w:r>
        <w:rPr>
          <w:i/>
          <w:iCs/>
          <w:kern w:val="0"/>
          <w:szCs w:val="21"/>
          <w:highlight w:val="none"/>
        </w:rPr>
        <w:t>C</w:t>
      </w:r>
      <w:r>
        <w:rPr>
          <w:i/>
          <w:iCs/>
          <w:kern w:val="0"/>
          <w:szCs w:val="21"/>
          <w:highlight w:val="none"/>
          <w:vertAlign w:val="subscript"/>
        </w:rPr>
        <w:t>IS</w:t>
      </w:r>
      <w:r>
        <w:rPr>
          <w:rStyle w:val="207"/>
          <w:rFonts w:ascii="Times New Roman" w:hAnsi="Times New Roman" w:cs="Times New Roman" w:eastAsiaTheme="minorEastAsia"/>
          <w:color w:val="000000"/>
          <w:sz w:val="18"/>
          <w:szCs w:val="18"/>
          <w:highlight w:val="none"/>
        </w:rPr>
        <w:t>——</w:t>
      </w:r>
      <w:r>
        <w:rPr>
          <w:kern w:val="0"/>
          <w:szCs w:val="21"/>
          <w:highlight w:val="none"/>
        </w:rPr>
        <w:t>内标浓度，单位为</w:t>
      </w:r>
      <w:r>
        <w:rPr>
          <w:rFonts w:hint="eastAsia"/>
          <w:kern w:val="0"/>
          <w:szCs w:val="21"/>
          <w:highlight w:val="none"/>
          <w:lang w:val="en-US" w:eastAsia="zh-CN"/>
        </w:rPr>
        <w:t>微克每毫升（</w:t>
      </w:r>
      <w:r>
        <w:rPr>
          <w:kern w:val="0"/>
          <w:szCs w:val="21"/>
          <w:highlight w:val="none"/>
        </w:rPr>
        <w:t>μg</w:t>
      </w:r>
      <w:r>
        <w:rPr>
          <w:rFonts w:hint="eastAsia"/>
          <w:kern w:val="0"/>
          <w:szCs w:val="21"/>
          <w:highlight w:val="none"/>
          <w:lang w:val="en-US" w:eastAsia="zh-CN"/>
        </w:rPr>
        <w:t>/mL）；</w:t>
      </w:r>
    </w:p>
    <w:p>
      <w:pPr>
        <w:ind w:firstLine="420" w:firstLineChars="200"/>
        <w:rPr>
          <w:iCs/>
          <w:kern w:val="0"/>
          <w:szCs w:val="21"/>
        </w:rPr>
      </w:pPr>
      <w:r>
        <w:rPr>
          <w:i/>
          <w:iCs w:val="0"/>
          <w:kern w:val="0"/>
          <w:szCs w:val="21"/>
        </w:rPr>
        <w:t>a</w:t>
      </w:r>
      <w:r>
        <w:rPr>
          <w:rFonts w:hint="eastAsia"/>
          <w:i/>
          <w:iCs w:val="0"/>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与</w:t>
      </w:r>
      <w:r>
        <w:rPr>
          <w:rFonts w:hint="eastAsia"/>
          <w:iCs/>
          <w:kern w:val="0"/>
          <w:szCs w:val="21"/>
          <w:lang w:eastAsia="zh-CN"/>
        </w:rPr>
        <w:t>公式</w:t>
      </w:r>
      <w:r>
        <w:rPr>
          <w:iCs/>
          <w:kern w:val="0"/>
          <w:szCs w:val="21"/>
        </w:rPr>
        <w:t>（2）所得校准值拟合最佳的直线斜率；</w:t>
      </w:r>
    </w:p>
    <w:p>
      <w:pPr>
        <w:ind w:firstLine="420" w:firstLineChars="200"/>
        <w:rPr>
          <w:iCs/>
          <w:kern w:val="0"/>
          <w:szCs w:val="21"/>
        </w:rPr>
      </w:pPr>
      <w:r>
        <w:rPr>
          <w:i/>
          <w:iCs/>
          <w:kern w:val="0"/>
          <w:szCs w:val="21"/>
        </w:rPr>
        <w:t>b</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响应</w:t>
      </w:r>
      <w:r>
        <w:rPr>
          <w:iCs/>
          <w:kern w:val="0"/>
          <w:szCs w:val="21"/>
        </w:rPr>
        <w:t>因子等于0时的y截距或浓度，根据</w:t>
      </w:r>
      <w:r>
        <w:rPr>
          <w:rFonts w:hint="eastAsia"/>
          <w:iCs/>
          <w:kern w:val="0"/>
          <w:szCs w:val="21"/>
          <w:lang w:eastAsia="zh-CN"/>
        </w:rPr>
        <w:t>公式</w:t>
      </w:r>
      <w:r>
        <w:rPr>
          <w:iCs/>
          <w:kern w:val="0"/>
          <w:szCs w:val="21"/>
        </w:rPr>
        <w:t>（2）计算得出。</w:t>
      </w:r>
    </w:p>
    <w:p>
      <w:pPr>
        <w:ind w:firstLine="420" w:firstLineChars="200"/>
        <w:rPr>
          <w:kern w:val="0"/>
          <w:szCs w:val="21"/>
          <w:highlight w:val="none"/>
        </w:rPr>
      </w:pPr>
      <w:r>
        <w:rPr>
          <w:rFonts w:hint="eastAsia"/>
          <w:kern w:val="0"/>
          <w:szCs w:val="21"/>
          <w:lang w:val="en-US" w:eastAsia="zh-CN"/>
        </w:rPr>
        <w:t>由于计算中</w:t>
      </w:r>
      <w:r>
        <w:rPr>
          <w:kern w:val="0"/>
          <w:szCs w:val="21"/>
        </w:rPr>
        <w:t>需要考虑有机溶剂体积、样品质量和提取物体积以及任何稀释因子</w:t>
      </w:r>
      <w:r>
        <w:rPr>
          <w:rFonts w:hint="eastAsia"/>
          <w:kern w:val="0"/>
          <w:szCs w:val="21"/>
          <w:lang w:eastAsia="zh-CN"/>
        </w:rPr>
        <w:t>，公式</w:t>
      </w:r>
      <w:r>
        <w:rPr>
          <w:kern w:val="0"/>
          <w:szCs w:val="21"/>
        </w:rPr>
        <w:t>（5）并没有给出最终浓度。单位从ng</w:t>
      </w:r>
      <w:r>
        <w:rPr>
          <w:rFonts w:hint="eastAsia"/>
          <w:kern w:val="0"/>
          <w:szCs w:val="21"/>
          <w:lang w:val="en-US" w:eastAsia="zh-CN"/>
        </w:rPr>
        <w:t>到</w:t>
      </w:r>
      <w:r>
        <w:rPr>
          <w:kern w:val="0"/>
          <w:szCs w:val="21"/>
        </w:rPr>
        <w:t>μg的</w:t>
      </w:r>
      <w:r>
        <w:rPr>
          <w:rFonts w:hint="eastAsia"/>
          <w:kern w:val="0"/>
          <w:szCs w:val="21"/>
          <w:lang w:val="en-US" w:eastAsia="zh-CN"/>
        </w:rPr>
        <w:t>转换</w:t>
      </w:r>
      <w:r>
        <w:rPr>
          <w:kern w:val="0"/>
          <w:szCs w:val="21"/>
        </w:rPr>
        <w:t>因子</w:t>
      </w:r>
      <w:r>
        <w:rPr>
          <w:kern w:val="0"/>
          <w:szCs w:val="21"/>
          <w:highlight w:val="none"/>
        </w:rPr>
        <w:t>（F）</w:t>
      </w:r>
      <w:r>
        <w:rPr>
          <w:rFonts w:hint="eastAsia"/>
          <w:kern w:val="0"/>
          <w:szCs w:val="21"/>
          <w:highlight w:val="none"/>
          <w:lang w:val="en-US" w:eastAsia="zh-CN"/>
        </w:rPr>
        <w:t>也同样需要考虑到计算中</w:t>
      </w:r>
      <w:r>
        <w:rPr>
          <w:kern w:val="0"/>
          <w:szCs w:val="21"/>
          <w:highlight w:val="none"/>
        </w:rPr>
        <w:t>。样品中的HBCDD最终浓度可以依据</w:t>
      </w:r>
      <w:r>
        <w:rPr>
          <w:rFonts w:hint="eastAsia"/>
          <w:kern w:val="0"/>
          <w:szCs w:val="21"/>
          <w:highlight w:val="none"/>
          <w:lang w:eastAsia="zh-CN"/>
        </w:rPr>
        <w:t>公式</w:t>
      </w:r>
      <w:r>
        <w:rPr>
          <w:kern w:val="0"/>
          <w:szCs w:val="21"/>
          <w:highlight w:val="none"/>
        </w:rPr>
        <w:t>（6）计算</w:t>
      </w:r>
      <w:r>
        <w:rPr>
          <w:rFonts w:hint="eastAsia"/>
          <w:kern w:val="0"/>
          <w:szCs w:val="21"/>
          <w:highlight w:val="none"/>
          <w:lang w:val="en-US" w:eastAsia="zh-CN"/>
        </w:rPr>
        <w:t>得出</w:t>
      </w:r>
      <w:r>
        <w:rPr>
          <w:kern w:val="0"/>
          <w:szCs w:val="21"/>
          <w:highlight w:val="none"/>
        </w:rPr>
        <w:t>：</w:t>
      </w:r>
    </w:p>
    <w:p>
      <w:pPr>
        <w:tabs>
          <w:tab w:val="left" w:pos="4678"/>
        </w:tabs>
        <w:adjustRightInd w:val="0"/>
        <w:snapToGrid w:val="0"/>
        <w:spacing w:before="156" w:beforeLines="50" w:after="156" w:afterLines="50"/>
        <w:jc w:val="right"/>
        <w:rPr>
          <w:color w:val="000000"/>
          <w:kern w:val="0"/>
          <w:szCs w:val="21"/>
          <w:highlight w:val="none"/>
          <w:lang w:bidi="en-US"/>
        </w:rPr>
      </w:pPr>
      <w:r>
        <w:rPr>
          <w:rFonts w:ascii="Cambria Math" w:hAnsi="Cambria Math"/>
          <w:i/>
          <w:color w:val="000000"/>
          <w:kern w:val="0"/>
          <w:position w:val="-32"/>
          <w:szCs w:val="21"/>
          <w:lang w:bidi="en-US"/>
        </w:rPr>
        <w:object>
          <v:shape id="_x0000_i1030" o:spt="75" type="#_x0000_t75" style="height:38pt;width:147pt;" o:ole="t" filled="f" o:preferrelative="t" stroked="f" coordsize="21600,21600">
            <v:path/>
            <v:fill on="f" focussize="0,0"/>
            <v:stroke on="f"/>
            <v:imagedata r:id="rId26" o:title=""/>
            <o:lock v:ext="edit" aspectratio="t"/>
            <w10:wrap type="none"/>
            <w10:anchorlock/>
          </v:shape>
          <o:OLEObject Type="Embed" ProgID="Equation.KSEE3" ShapeID="_x0000_i1030" DrawAspect="Content" ObjectID="_1468075730" r:id="rId25">
            <o:LockedField>false</o:LockedField>
          </o:OLEObject>
        </w:object>
      </w:r>
      <w:r>
        <w:rPr>
          <w:rFonts w:hint="eastAsia" w:ascii="Cambria Math" w:hAnsi="Cambria Math"/>
          <w:i w:val="0"/>
          <w:iCs/>
          <w:color w:val="000000"/>
          <w:kern w:val="0"/>
          <w:szCs w:val="21"/>
          <w:highlight w:val="none"/>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color w:val="000000"/>
          <w:kern w:val="0"/>
          <w:szCs w:val="21"/>
          <w:highlight w:val="none"/>
          <w:lang w:val="en-US" w:eastAsia="zh-CN" w:bidi="en-US"/>
        </w:rPr>
        <w:t>6</w:t>
      </w:r>
      <w:r>
        <w:rPr>
          <w:rStyle w:val="178"/>
          <w:rFonts w:hint="eastAsia" w:ascii="Times New Roman" w:hAnsi="Times New Roman" w:eastAsia="宋体" w:cs="Times New Roman"/>
          <w:color w:val="000000"/>
          <w:sz w:val="21"/>
          <w:szCs w:val="21"/>
          <w:highlight w:val="none"/>
          <w:lang w:val="en-US" w:eastAsia="zh-CN"/>
        </w:rPr>
        <w:t>）</w:t>
      </w:r>
    </w:p>
    <w:p>
      <w:pPr>
        <w:ind w:firstLine="420" w:firstLineChars="200"/>
        <w:rPr>
          <w:kern w:val="0"/>
          <w:szCs w:val="21"/>
          <w:highlight w:val="none"/>
        </w:rPr>
      </w:pPr>
      <w:r>
        <w:rPr>
          <w:kern w:val="0"/>
          <w:szCs w:val="21"/>
          <w:highlight w:val="none"/>
        </w:rPr>
        <w:t>式中：</w:t>
      </w:r>
    </w:p>
    <w:p>
      <w:pPr>
        <w:ind w:firstLine="420" w:firstLineChars="200"/>
        <w:rPr>
          <w:kern w:val="0"/>
          <w:szCs w:val="21"/>
          <w:highlight w:val="none"/>
        </w:rPr>
      </w:pPr>
      <w:r>
        <w:rPr>
          <w:i/>
          <w:iCs/>
          <w:kern w:val="0"/>
          <w:szCs w:val="21"/>
          <w:highlight w:val="none"/>
        </w:rPr>
        <w:t>C</w:t>
      </w:r>
      <w:r>
        <w:rPr>
          <w:i/>
          <w:iCs/>
          <w:kern w:val="0"/>
          <w:szCs w:val="21"/>
          <w:highlight w:val="none"/>
          <w:vertAlign w:val="subscript"/>
        </w:rPr>
        <w:t>final</w:t>
      </w:r>
      <w:r>
        <w:rPr>
          <w:rStyle w:val="207"/>
          <w:rFonts w:ascii="Times New Roman" w:hAnsi="Times New Roman" w:cs="Times New Roman" w:eastAsiaTheme="minorEastAsia"/>
          <w:color w:val="000000"/>
          <w:sz w:val="18"/>
          <w:szCs w:val="18"/>
          <w:highlight w:val="none"/>
        </w:rPr>
        <w:t>——</w:t>
      </w:r>
      <w:r>
        <w:rPr>
          <w:kern w:val="0"/>
          <w:szCs w:val="21"/>
          <w:highlight w:val="none"/>
        </w:rPr>
        <w:t>样品中HBCDD的浓度，单位为</w:t>
      </w:r>
      <w:r>
        <w:rPr>
          <w:rFonts w:hint="eastAsia"/>
          <w:kern w:val="0"/>
          <w:szCs w:val="21"/>
          <w:highlight w:val="none"/>
          <w:lang w:val="en-US" w:eastAsia="zh-CN"/>
        </w:rPr>
        <w:t>微克每克（</w:t>
      </w:r>
      <w:r>
        <w:rPr>
          <w:kern w:val="0"/>
          <w:szCs w:val="21"/>
          <w:highlight w:val="none"/>
        </w:rPr>
        <w:t>μg/g</w:t>
      </w:r>
      <w:r>
        <w:rPr>
          <w:rFonts w:hint="eastAsia"/>
          <w:kern w:val="0"/>
          <w:szCs w:val="21"/>
          <w:highlight w:val="none"/>
          <w:lang w:eastAsia="zh-CN"/>
        </w:rPr>
        <w:t>）</w:t>
      </w:r>
      <w:r>
        <w:rPr>
          <w:kern w:val="0"/>
          <w:szCs w:val="21"/>
          <w:highlight w:val="none"/>
        </w:rPr>
        <w:t>；</w:t>
      </w:r>
    </w:p>
    <w:p>
      <w:pPr>
        <w:ind w:firstLine="420" w:firstLineChars="200"/>
        <w:rPr>
          <w:kern w:val="0"/>
          <w:szCs w:val="21"/>
        </w:rPr>
      </w:pPr>
      <w:r>
        <w:rPr>
          <w:i/>
          <w:iCs/>
          <w:kern w:val="0"/>
          <w:szCs w:val="21"/>
        </w:rPr>
        <w:t>V</w:t>
      </w:r>
      <w:r>
        <w:rPr>
          <w:rStyle w:val="207"/>
          <w:rFonts w:ascii="Times New Roman" w:hAnsi="Times New Roman" w:cs="Times New Roman" w:eastAsiaTheme="minorEastAsia"/>
          <w:color w:val="000000"/>
          <w:sz w:val="18"/>
          <w:szCs w:val="18"/>
        </w:rPr>
        <w:t>——</w:t>
      </w:r>
      <w:r>
        <w:rPr>
          <w:kern w:val="0"/>
          <w:szCs w:val="21"/>
        </w:rPr>
        <w:t>终提取体积（100</w:t>
      </w:r>
      <w:r>
        <w:rPr>
          <w:rFonts w:hint="eastAsia"/>
          <w:kern w:val="0"/>
          <w:szCs w:val="21"/>
          <w:lang w:eastAsia="zh-CN"/>
        </w:rPr>
        <w:t xml:space="preserve"> mL</w:t>
      </w:r>
      <w:r>
        <w:rPr>
          <w:kern w:val="0"/>
          <w:szCs w:val="21"/>
        </w:rPr>
        <w:t>）；</w:t>
      </w:r>
    </w:p>
    <w:p>
      <w:pPr>
        <w:ind w:firstLine="420" w:firstLineChars="200"/>
        <w:rPr>
          <w:iCs/>
          <w:kern w:val="0"/>
          <w:szCs w:val="21"/>
        </w:rPr>
      </w:pPr>
      <w:r>
        <w:rPr>
          <w:i/>
          <w:iCs/>
          <w:kern w:val="0"/>
          <w:szCs w:val="21"/>
        </w:rPr>
        <w:t>M</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样品</w:t>
      </w:r>
      <w:r>
        <w:rPr>
          <w:iCs/>
          <w:kern w:val="0"/>
          <w:szCs w:val="21"/>
          <w:highlight w:val="none"/>
        </w:rPr>
        <w:t>质量，单位</w:t>
      </w:r>
      <w:r>
        <w:rPr>
          <w:rFonts w:hint="eastAsia"/>
          <w:iCs/>
          <w:kern w:val="0"/>
          <w:szCs w:val="21"/>
          <w:highlight w:val="none"/>
          <w:lang w:val="en-US" w:eastAsia="zh-CN"/>
        </w:rPr>
        <w:t>为</w:t>
      </w:r>
      <w:r>
        <w:rPr>
          <w:iCs/>
          <w:kern w:val="0"/>
          <w:szCs w:val="21"/>
          <w:highlight w:val="none"/>
        </w:rPr>
        <w:t>克</w:t>
      </w:r>
      <w:r>
        <w:rPr>
          <w:kern w:val="0"/>
          <w:szCs w:val="21"/>
          <w:highlight w:val="none"/>
        </w:rPr>
        <w:t>（</w:t>
      </w:r>
      <w:r>
        <w:rPr>
          <w:rFonts w:hint="eastAsia"/>
          <w:kern w:val="0"/>
          <w:szCs w:val="21"/>
          <w:highlight w:val="none"/>
          <w:lang w:val="en-US" w:eastAsia="zh-CN"/>
        </w:rPr>
        <w:t>g</w:t>
      </w:r>
      <w:r>
        <w:rPr>
          <w:kern w:val="0"/>
          <w:szCs w:val="21"/>
          <w:highlight w:val="none"/>
        </w:rPr>
        <w:t>）</w:t>
      </w:r>
      <w:r>
        <w:rPr>
          <w:iCs/>
          <w:kern w:val="0"/>
          <w:szCs w:val="21"/>
          <w:highlight w:val="none"/>
        </w:rPr>
        <w:t>。</w:t>
      </w:r>
    </w:p>
    <w:p>
      <w:pPr>
        <w:ind w:firstLine="360" w:firstLineChars="200"/>
        <w:rPr>
          <w:rFonts w:hint="eastAsia" w:ascii="黑体" w:hAnsi="黑体" w:eastAsia="黑体" w:cs="黑体"/>
          <w:kern w:val="0"/>
          <w:sz w:val="18"/>
          <w:szCs w:val="18"/>
        </w:rPr>
      </w:pPr>
      <w:r>
        <w:rPr>
          <w:rFonts w:hint="eastAsia" w:ascii="黑体" w:hAnsi="黑体" w:eastAsia="黑体" w:cs="黑体"/>
          <w:kern w:val="0"/>
          <w:sz w:val="18"/>
          <w:szCs w:val="18"/>
        </w:rPr>
        <w:t>注：</w:t>
      </w:r>
      <w:r>
        <w:rPr>
          <w:rFonts w:hint="eastAsia"/>
          <w:kern w:val="0"/>
          <w:sz w:val="18"/>
          <w:szCs w:val="18"/>
        </w:rPr>
        <w:t>以上计算示例仅用于线性回归校准。如果使用多</w:t>
      </w:r>
      <w:r>
        <w:rPr>
          <w:rFonts w:hint="eastAsia"/>
          <w:kern w:val="0"/>
          <w:sz w:val="18"/>
          <w:szCs w:val="18"/>
          <w:lang w:val="en-US" w:eastAsia="zh-CN"/>
        </w:rPr>
        <w:t>阶</w:t>
      </w:r>
      <w:r>
        <w:rPr>
          <w:rFonts w:hint="eastAsia"/>
          <w:kern w:val="0"/>
          <w:sz w:val="18"/>
          <w:szCs w:val="18"/>
        </w:rPr>
        <w:t>回归校准，可能需要单独</w:t>
      </w:r>
      <w:r>
        <w:rPr>
          <w:rFonts w:hint="eastAsia"/>
          <w:kern w:val="0"/>
          <w:sz w:val="18"/>
          <w:szCs w:val="18"/>
          <w:lang w:val="en-US" w:eastAsia="zh-CN"/>
        </w:rPr>
        <w:t>的</w:t>
      </w:r>
      <w:r>
        <w:rPr>
          <w:rFonts w:hint="eastAsia"/>
          <w:kern w:val="0"/>
          <w:sz w:val="18"/>
          <w:szCs w:val="18"/>
        </w:rPr>
        <w:t>计算。</w:t>
      </w:r>
    </w:p>
    <w:p>
      <w:pPr>
        <w:ind w:firstLine="420" w:firstLineChars="200"/>
        <w:rPr>
          <w:kern w:val="0"/>
          <w:szCs w:val="21"/>
          <w:highlight w:val="none"/>
        </w:rPr>
      </w:pPr>
      <w:r>
        <w:rPr>
          <w:kern w:val="0"/>
          <w:szCs w:val="21"/>
          <w:highlight w:val="none"/>
        </w:rPr>
        <w:t>HBCDD可以通过确定HBCDD信号</w:t>
      </w:r>
      <w:r>
        <w:rPr>
          <w:rFonts w:hint="eastAsia"/>
          <w:kern w:val="0"/>
          <w:szCs w:val="21"/>
          <w:highlight w:val="none"/>
          <w:lang w:val="en-US" w:eastAsia="zh-CN"/>
        </w:rPr>
        <w:t>的</w:t>
      </w:r>
      <w:r>
        <w:rPr>
          <w:kern w:val="0"/>
          <w:szCs w:val="21"/>
          <w:highlight w:val="none"/>
        </w:rPr>
        <w:t>测定浓度来计算。HBCDD</w:t>
      </w:r>
      <w:r>
        <w:rPr>
          <w:rFonts w:hint="eastAsia"/>
          <w:kern w:val="0"/>
          <w:szCs w:val="21"/>
          <w:highlight w:val="none"/>
          <w:lang w:val="en-US" w:eastAsia="zh-CN"/>
        </w:rPr>
        <w:t>的确证信息</w:t>
      </w:r>
      <w:r>
        <w:rPr>
          <w:kern w:val="0"/>
          <w:szCs w:val="21"/>
          <w:highlight w:val="none"/>
        </w:rPr>
        <w:t>应包括质量</w:t>
      </w:r>
      <w:r>
        <w:rPr>
          <w:rFonts w:hint="eastAsia"/>
          <w:kern w:val="0"/>
          <w:szCs w:val="21"/>
          <w:highlight w:val="none"/>
          <w:lang w:val="en-US" w:eastAsia="zh-CN"/>
        </w:rPr>
        <w:t>数</w:t>
      </w:r>
      <w:r>
        <w:rPr>
          <w:kern w:val="0"/>
          <w:szCs w:val="21"/>
          <w:highlight w:val="none"/>
        </w:rPr>
        <w:t>、保留时间和HBCDD离子</w:t>
      </w:r>
      <w:r>
        <w:rPr>
          <w:rFonts w:hint="eastAsia"/>
          <w:kern w:val="0"/>
          <w:szCs w:val="21"/>
          <w:highlight w:val="none"/>
          <w:lang w:val="en-US" w:eastAsia="zh-CN"/>
        </w:rPr>
        <w:t>修正</w:t>
      </w:r>
      <w:r>
        <w:rPr>
          <w:kern w:val="0"/>
          <w:szCs w:val="21"/>
          <w:highlight w:val="none"/>
        </w:rPr>
        <w:t>比率。</w:t>
      </w:r>
    </w:p>
    <w:p>
      <w:pPr>
        <w:ind w:firstLine="420" w:firstLineChars="200"/>
        <w:rPr>
          <w:kern w:val="0"/>
          <w:szCs w:val="21"/>
          <w:highlight w:val="yellow"/>
        </w:rPr>
      </w:pPr>
      <w:r>
        <w:rPr>
          <w:kern w:val="0"/>
          <w:szCs w:val="21"/>
          <w:highlight w:val="none"/>
        </w:rPr>
        <w:t>校准溶液可用于确定</w:t>
      </w:r>
      <w:r>
        <w:rPr>
          <w:rFonts w:hint="eastAsia"/>
          <w:kern w:val="0"/>
          <w:szCs w:val="21"/>
          <w:highlight w:val="none"/>
          <w:lang w:val="en-US" w:eastAsia="zh-CN"/>
        </w:rPr>
        <w:t>相应</w:t>
      </w:r>
      <w:r>
        <w:rPr>
          <w:kern w:val="0"/>
          <w:szCs w:val="21"/>
          <w:highlight w:val="none"/>
        </w:rPr>
        <w:t>溴化程度的平均响应因子。平均响应因子可用于计算</w:t>
      </w:r>
      <w:r>
        <w:rPr>
          <w:rFonts w:hint="eastAsia"/>
          <w:kern w:val="0"/>
          <w:szCs w:val="21"/>
          <w:highlight w:val="none"/>
          <w:lang w:val="en-US" w:eastAsia="zh-CN"/>
        </w:rPr>
        <w:t xml:space="preserve">在样品中检测到但在 </w:t>
      </w:r>
      <w:r>
        <w:rPr>
          <w:kern w:val="0"/>
          <w:szCs w:val="21"/>
          <w:highlight w:val="none"/>
        </w:rPr>
        <w:t>校准</w:t>
      </w:r>
      <w:r>
        <w:rPr>
          <w:rFonts w:hint="eastAsia"/>
          <w:kern w:val="0"/>
          <w:szCs w:val="21"/>
          <w:highlight w:val="none"/>
          <w:lang w:val="en-US" w:eastAsia="zh-CN"/>
        </w:rPr>
        <w:t>溶液中未检测到的其他同系物浓度</w:t>
      </w:r>
      <w:r>
        <w:rPr>
          <w:kern w:val="0"/>
          <w:szCs w:val="21"/>
          <w:highlight w:val="none"/>
        </w:rPr>
        <w:t>（例如，</w:t>
      </w:r>
      <w:r>
        <w:rPr>
          <w:rFonts w:hint="eastAsia"/>
          <w:kern w:val="0"/>
          <w:szCs w:val="21"/>
          <w:highlight w:val="none"/>
          <w:lang w:val="en-US" w:eastAsia="zh-CN"/>
        </w:rPr>
        <w:t>质谱确定的</w:t>
      </w:r>
      <w:r>
        <w:rPr>
          <w:kern w:val="0"/>
          <w:szCs w:val="21"/>
          <w:highlight w:val="none"/>
        </w:rPr>
        <w:t>化合物或“TICs”）。</w:t>
      </w:r>
      <w:r>
        <w:rPr>
          <w:rFonts w:hint="eastAsia"/>
          <w:kern w:val="0"/>
          <w:szCs w:val="21"/>
          <w:highlight w:val="none"/>
          <w:lang w:val="en-US" w:eastAsia="zh-CN"/>
        </w:rPr>
        <w:t>对判定为</w:t>
      </w:r>
      <w:r>
        <w:rPr>
          <w:kern w:val="0"/>
          <w:szCs w:val="21"/>
          <w:highlight w:val="none"/>
        </w:rPr>
        <w:t>HBCDD标准的信号自动积分是GC-MS痕量分</w:t>
      </w:r>
      <w:r>
        <w:rPr>
          <w:rFonts w:hint="eastAsia"/>
          <w:kern w:val="0"/>
          <w:szCs w:val="21"/>
          <w:highlight w:val="none"/>
          <w:lang w:val="en-US" w:eastAsia="zh-CN"/>
        </w:rPr>
        <w:t>析</w:t>
      </w:r>
      <w:r>
        <w:rPr>
          <w:kern w:val="0"/>
          <w:szCs w:val="21"/>
          <w:highlight w:val="none"/>
        </w:rPr>
        <w:t>软件的常见功能。</w:t>
      </w:r>
    </w:p>
    <w:p>
      <w:pPr>
        <w:ind w:firstLine="420" w:firstLineChars="200"/>
        <w:rPr>
          <w:kern w:val="0"/>
          <w:szCs w:val="21"/>
        </w:rPr>
      </w:pPr>
      <w:r>
        <w:rPr>
          <w:kern w:val="0"/>
          <w:szCs w:val="21"/>
          <w:highlight w:val="none"/>
        </w:rPr>
        <w:t>将内标物（CB 209）（8.2.1.b）加入提取液中，将溶液注入GC-MS，测定分析物的峰面积和CB209的峰面积，然后根据</w:t>
      </w:r>
      <w:r>
        <w:rPr>
          <w:rFonts w:hint="eastAsia"/>
          <w:kern w:val="0"/>
          <w:szCs w:val="21"/>
          <w:highlight w:val="none"/>
          <w:lang w:eastAsia="zh-CN"/>
        </w:rPr>
        <w:t>公式</w:t>
      </w:r>
      <w:r>
        <w:rPr>
          <w:kern w:val="0"/>
          <w:szCs w:val="21"/>
          <w:highlight w:val="none"/>
        </w:rPr>
        <w:t>（5）和（6）计算分析物的浓度，从而对样品提取（8.2.3）中分离的HBCDD定量。</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10 精</w:t>
      </w:r>
      <w:r>
        <w:rPr>
          <w:rFonts w:hint="eastAsia" w:ascii="黑体" w:hAnsi="黑体" w:eastAsia="黑体"/>
          <w:kern w:val="0"/>
          <w:szCs w:val="20"/>
          <w:lang w:val="en-US" w:eastAsia="zh-CN"/>
        </w:rPr>
        <w:t>密</w:t>
      </w:r>
      <w:r>
        <w:rPr>
          <w:rFonts w:ascii="黑体" w:hAnsi="黑体" w:eastAsia="黑体"/>
          <w:kern w:val="0"/>
          <w:szCs w:val="20"/>
        </w:rPr>
        <w:t>度</w:t>
      </w:r>
    </w:p>
    <w:p>
      <w:pPr>
        <w:ind w:firstLine="420" w:firstLineChars="200"/>
        <w:rPr>
          <w:kern w:val="0"/>
          <w:szCs w:val="21"/>
          <w:highlight w:val="none"/>
        </w:rPr>
      </w:pPr>
      <w:r>
        <w:rPr>
          <w:rFonts w:hint="eastAsia"/>
          <w:kern w:val="0"/>
          <w:szCs w:val="21"/>
          <w:highlight w:val="none"/>
          <w:lang w:val="en-US" w:eastAsia="zh-CN"/>
        </w:rPr>
        <w:t>当相同实验室，由相同操作员使用相同的设备，在相同的测试材料上</w:t>
      </w:r>
      <w:r>
        <w:rPr>
          <w:kern w:val="0"/>
          <w:szCs w:val="21"/>
          <w:highlight w:val="none"/>
        </w:rPr>
        <w:t>短时间间隔内</w:t>
      </w:r>
      <w:r>
        <w:rPr>
          <w:rFonts w:hint="eastAsia"/>
          <w:kern w:val="0"/>
          <w:szCs w:val="21"/>
          <w:highlight w:val="none"/>
          <w:lang w:val="en-US" w:eastAsia="zh-CN"/>
        </w:rPr>
        <w:t>使用相同的方法得到的两次独立单一的测试结果值</w:t>
      </w:r>
      <w:r>
        <w:rPr>
          <w:kern w:val="0"/>
          <w:szCs w:val="21"/>
          <w:highlight w:val="none"/>
        </w:rPr>
        <w:t>，</w:t>
      </w:r>
      <w:r>
        <w:rPr>
          <w:rFonts w:hint="eastAsia"/>
          <w:kern w:val="0"/>
          <w:szCs w:val="21"/>
          <w:highlight w:val="none"/>
          <w:lang w:val="en-US" w:eastAsia="zh-CN"/>
        </w:rPr>
        <w:t>在</w:t>
      </w:r>
      <w:r>
        <w:rPr>
          <w:kern w:val="0"/>
          <w:szCs w:val="21"/>
          <w:highlight w:val="none"/>
        </w:rPr>
        <w:t>表5的平均值范围内，</w:t>
      </w:r>
      <w:r>
        <w:rPr>
          <w:rFonts w:hint="eastAsia"/>
          <w:kern w:val="0"/>
          <w:szCs w:val="21"/>
          <w:highlight w:val="none"/>
          <w:lang w:val="en-US" w:eastAsia="zh-CN"/>
        </w:rPr>
        <w:t>其超过</w:t>
      </w:r>
      <w:r>
        <w:rPr>
          <w:szCs w:val="21"/>
          <w:highlight w:val="none"/>
        </w:rPr>
        <w:t>5％</w:t>
      </w:r>
      <w:r>
        <w:rPr>
          <w:rFonts w:hint="eastAsia"/>
          <w:szCs w:val="21"/>
          <w:highlight w:val="none"/>
          <w:lang w:val="en-US" w:eastAsia="zh-CN"/>
        </w:rPr>
        <w:t>情况下所获得的</w:t>
      </w:r>
      <w:r>
        <w:rPr>
          <w:kern w:val="0"/>
          <w:szCs w:val="21"/>
          <w:highlight w:val="none"/>
        </w:rPr>
        <w:t>两</w:t>
      </w:r>
      <w:r>
        <w:rPr>
          <w:rFonts w:hint="eastAsia"/>
          <w:kern w:val="0"/>
          <w:szCs w:val="21"/>
          <w:highlight w:val="none"/>
          <w:lang w:val="en-US" w:eastAsia="zh-CN"/>
        </w:rPr>
        <w:t>次测试</w:t>
      </w:r>
      <w:r>
        <w:rPr>
          <w:kern w:val="0"/>
          <w:szCs w:val="21"/>
          <w:highlight w:val="none"/>
        </w:rPr>
        <w:t>结果之间的绝对</w:t>
      </w:r>
      <w:r>
        <w:rPr>
          <w:rFonts w:hint="eastAsia"/>
          <w:kern w:val="0"/>
          <w:szCs w:val="21"/>
          <w:highlight w:val="none"/>
          <w:lang w:val="en-US" w:eastAsia="zh-CN"/>
        </w:rPr>
        <w:t>差异</w:t>
      </w:r>
      <w:r>
        <w:rPr>
          <w:kern w:val="0"/>
          <w:szCs w:val="21"/>
          <w:highlight w:val="none"/>
        </w:rPr>
        <w:t>不应超过国际实验室间研究（IIS 9）</w:t>
      </w:r>
      <w:r>
        <w:rPr>
          <w:rFonts w:hint="eastAsia"/>
          <w:kern w:val="0"/>
          <w:szCs w:val="21"/>
          <w:highlight w:val="none"/>
          <w:lang w:val="en-US" w:eastAsia="zh-CN"/>
        </w:rPr>
        <w:t>的</w:t>
      </w:r>
      <w:r>
        <w:rPr>
          <w:rFonts w:hint="eastAsia"/>
          <w:szCs w:val="21"/>
          <w:highlight w:val="none"/>
          <w:lang w:val="en-US" w:eastAsia="zh-CN"/>
        </w:rPr>
        <w:t>统计分析</w:t>
      </w:r>
      <w:r>
        <w:rPr>
          <w:rFonts w:hint="eastAsia"/>
          <w:kern w:val="0"/>
          <w:szCs w:val="21"/>
          <w:highlight w:val="none"/>
          <w:lang w:val="en-US" w:eastAsia="zh-CN"/>
        </w:rPr>
        <w:t>得出的</w:t>
      </w:r>
      <w:r>
        <w:rPr>
          <w:kern w:val="0"/>
          <w:szCs w:val="21"/>
          <w:highlight w:val="none"/>
        </w:rPr>
        <w:t>重复性限</w:t>
      </w:r>
      <w:r>
        <w:rPr>
          <w:i/>
          <w:kern w:val="0"/>
          <w:szCs w:val="21"/>
          <w:highlight w:val="none"/>
        </w:rPr>
        <w:t>r</w:t>
      </w:r>
      <w:r>
        <w:rPr>
          <w:kern w:val="0"/>
          <w:szCs w:val="21"/>
          <w:highlight w:val="none"/>
        </w:rPr>
        <w:t>。</w:t>
      </w:r>
    </w:p>
    <w:p>
      <w:pPr>
        <w:ind w:firstLine="420" w:firstLineChars="200"/>
        <w:rPr>
          <w:color w:val="000000"/>
          <w:kern w:val="0"/>
          <w:szCs w:val="21"/>
          <w:highlight w:val="none"/>
          <w:lang w:bidi="en-US"/>
        </w:rPr>
      </w:pPr>
      <w:r>
        <w:rPr>
          <w:rFonts w:hint="eastAsia"/>
          <w:kern w:val="0"/>
          <w:szCs w:val="21"/>
          <w:highlight w:val="none"/>
          <w:lang w:val="en-US" w:eastAsia="zh-CN"/>
        </w:rPr>
        <w:t>当不同实验室，由不同操作员使用相同的方法，使用不同的设备针对相同的测试材料得到的两次单一的测试结果值</w:t>
      </w:r>
      <w:r>
        <w:rPr>
          <w:kern w:val="0"/>
          <w:szCs w:val="21"/>
          <w:highlight w:val="none"/>
        </w:rPr>
        <w:t>，</w:t>
      </w:r>
      <w:r>
        <w:rPr>
          <w:rFonts w:hint="eastAsia"/>
          <w:kern w:val="0"/>
          <w:szCs w:val="21"/>
          <w:highlight w:val="none"/>
          <w:lang w:val="en-US" w:eastAsia="zh-CN"/>
        </w:rPr>
        <w:t>在</w:t>
      </w:r>
      <w:r>
        <w:rPr>
          <w:kern w:val="0"/>
          <w:szCs w:val="21"/>
          <w:highlight w:val="none"/>
        </w:rPr>
        <w:t>表5的平均值</w:t>
      </w:r>
      <w:r>
        <w:rPr>
          <w:rFonts w:hint="eastAsia"/>
          <w:kern w:val="0"/>
          <w:szCs w:val="21"/>
          <w:highlight w:val="none"/>
          <w:lang w:val="en-US" w:eastAsia="zh-CN"/>
        </w:rPr>
        <w:t>的</w:t>
      </w:r>
      <w:r>
        <w:rPr>
          <w:kern w:val="0"/>
          <w:szCs w:val="21"/>
          <w:highlight w:val="none"/>
        </w:rPr>
        <w:t>范围内，</w:t>
      </w:r>
      <w:r>
        <w:rPr>
          <w:rFonts w:hint="eastAsia"/>
          <w:kern w:val="0"/>
          <w:szCs w:val="21"/>
          <w:highlight w:val="none"/>
          <w:lang w:val="en-US" w:eastAsia="zh-CN"/>
        </w:rPr>
        <w:t>其超过</w:t>
      </w:r>
      <w:r>
        <w:rPr>
          <w:szCs w:val="21"/>
          <w:highlight w:val="none"/>
        </w:rPr>
        <w:t>5％</w:t>
      </w:r>
      <w:r>
        <w:rPr>
          <w:rFonts w:hint="eastAsia"/>
          <w:szCs w:val="21"/>
          <w:highlight w:val="none"/>
          <w:lang w:val="en-US" w:eastAsia="zh-CN"/>
        </w:rPr>
        <w:t>的情况下所获得的</w:t>
      </w:r>
      <w:r>
        <w:rPr>
          <w:kern w:val="0"/>
          <w:szCs w:val="21"/>
          <w:highlight w:val="none"/>
        </w:rPr>
        <w:t>两</w:t>
      </w:r>
      <w:r>
        <w:rPr>
          <w:rFonts w:hint="eastAsia"/>
          <w:kern w:val="0"/>
          <w:szCs w:val="21"/>
          <w:highlight w:val="none"/>
          <w:lang w:val="en-US" w:eastAsia="zh-CN"/>
        </w:rPr>
        <w:t>次测试</w:t>
      </w:r>
      <w:r>
        <w:rPr>
          <w:kern w:val="0"/>
          <w:szCs w:val="21"/>
          <w:highlight w:val="none"/>
        </w:rPr>
        <w:t>结果之间的绝对</w:t>
      </w:r>
      <w:r>
        <w:rPr>
          <w:rFonts w:hint="eastAsia"/>
          <w:kern w:val="0"/>
          <w:szCs w:val="21"/>
          <w:highlight w:val="none"/>
          <w:lang w:val="en-US" w:eastAsia="zh-CN"/>
        </w:rPr>
        <w:t>差异</w:t>
      </w:r>
      <w:r>
        <w:rPr>
          <w:kern w:val="0"/>
          <w:szCs w:val="21"/>
          <w:highlight w:val="none"/>
        </w:rPr>
        <w:t>不</w:t>
      </w:r>
      <w:r>
        <w:rPr>
          <w:rFonts w:hint="eastAsia"/>
          <w:kern w:val="0"/>
          <w:szCs w:val="21"/>
          <w:highlight w:val="none"/>
          <w:lang w:val="en-US" w:eastAsia="zh-CN"/>
        </w:rPr>
        <w:t>会</w:t>
      </w:r>
      <w:r>
        <w:rPr>
          <w:kern w:val="0"/>
          <w:szCs w:val="21"/>
          <w:highlight w:val="none"/>
        </w:rPr>
        <w:t>超过国际实验室间研究（IIS 9）</w:t>
      </w:r>
      <w:r>
        <w:rPr>
          <w:rFonts w:hint="eastAsia"/>
          <w:kern w:val="0"/>
          <w:szCs w:val="21"/>
          <w:highlight w:val="none"/>
          <w:lang w:val="en-US" w:eastAsia="zh-CN"/>
        </w:rPr>
        <w:t>结果的</w:t>
      </w:r>
      <w:r>
        <w:rPr>
          <w:rFonts w:hint="eastAsia"/>
          <w:szCs w:val="21"/>
          <w:highlight w:val="none"/>
          <w:lang w:val="en-US" w:eastAsia="zh-CN"/>
        </w:rPr>
        <w:t>统计分析</w:t>
      </w:r>
      <w:r>
        <w:rPr>
          <w:rFonts w:hint="eastAsia"/>
          <w:kern w:val="0"/>
          <w:szCs w:val="21"/>
          <w:highlight w:val="none"/>
          <w:lang w:val="en-US" w:eastAsia="zh-CN"/>
        </w:rPr>
        <w:t>得出的</w:t>
      </w:r>
      <w:r>
        <w:rPr>
          <w:color w:val="000000"/>
          <w:kern w:val="0"/>
          <w:szCs w:val="21"/>
          <w:highlight w:val="none"/>
          <w:lang w:bidi="en-US"/>
        </w:rPr>
        <w:t>再现性限</w:t>
      </w:r>
      <w:r>
        <w:rPr>
          <w:i/>
          <w:color w:val="000000"/>
          <w:kern w:val="0"/>
          <w:szCs w:val="21"/>
          <w:highlight w:val="none"/>
          <w:lang w:bidi="en-US"/>
        </w:rPr>
        <w:t>R</w:t>
      </w:r>
      <w:r>
        <w:rPr>
          <w:color w:val="000000"/>
          <w:kern w:val="0"/>
          <w:szCs w:val="21"/>
          <w:highlight w:val="none"/>
          <w:lang w:bidi="en-US"/>
        </w:rPr>
        <w:t>。</w:t>
      </w:r>
    </w:p>
    <w:p>
      <w:pPr>
        <w:spacing w:before="156" w:beforeLines="50" w:after="156" w:afterLines="50"/>
        <w:jc w:val="center"/>
        <w:rPr>
          <w:b/>
          <w:bCs/>
          <w:szCs w:val="21"/>
        </w:rPr>
      </w:pPr>
      <w:r>
        <w:rPr>
          <w:b/>
          <w:bCs/>
          <w:szCs w:val="21"/>
        </w:rPr>
        <w:t>表5</w:t>
      </w:r>
      <w:r>
        <w:rPr>
          <w:rFonts w:hint="eastAsia"/>
          <w:b/>
          <w:bCs/>
          <w:szCs w:val="21"/>
          <w:lang w:val="en-US" w:eastAsia="zh-CN"/>
        </w:rPr>
        <w:t xml:space="preserve"> </w:t>
      </w:r>
      <w:r>
        <w:rPr>
          <w:b/>
          <w:bCs/>
          <w:szCs w:val="21"/>
        </w:rPr>
        <w:t>IIS 9的重复性与再现性</w:t>
      </w:r>
    </w:p>
    <w:tbl>
      <w:tblPr>
        <w:tblStyle w:val="37"/>
        <w:tblW w:w="9468" w:type="dxa"/>
        <w:tblInd w:w="0" w:type="dxa"/>
        <w:tblLayout w:type="fixed"/>
        <w:tblCellMar>
          <w:top w:w="0" w:type="dxa"/>
          <w:left w:w="57" w:type="dxa"/>
          <w:bottom w:w="0" w:type="dxa"/>
          <w:right w:w="57" w:type="dxa"/>
        </w:tblCellMar>
      </w:tblPr>
      <w:tblGrid>
        <w:gridCol w:w="1900"/>
        <w:gridCol w:w="1889"/>
        <w:gridCol w:w="1894"/>
        <w:gridCol w:w="1885"/>
        <w:gridCol w:w="1900"/>
      </w:tblGrid>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参数</w:t>
            </w:r>
          </w:p>
        </w:tc>
        <w:tc>
          <w:tcPr>
            <w:tcW w:w="1889" w:type="dxa"/>
            <w:tcBorders>
              <w:top w:val="single" w:color="auto" w:sz="4" w:space="0"/>
              <w:lef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N</w:t>
            </w:r>
          </w:p>
        </w:tc>
        <w:tc>
          <w:tcPr>
            <w:tcW w:w="1894" w:type="dxa"/>
            <w:tcBorders>
              <w:top w:val="single" w:color="auto" w:sz="4" w:space="0"/>
              <w:left w:val="single" w:color="auto" w:sz="4" w:space="0"/>
            </w:tcBorders>
            <w:shd w:val="clear" w:color="auto" w:fill="FFFFFF"/>
            <w:vAlign w:val="bottom"/>
          </w:tcPr>
          <w:p>
            <w:pPr>
              <w:jc w:val="center"/>
              <w:rPr>
                <w:i/>
                <w:iCs/>
                <w:color w:val="000000"/>
                <w:kern w:val="0"/>
                <w:szCs w:val="21"/>
                <w:lang w:bidi="en-US"/>
              </w:rPr>
            </w:pPr>
            <w:r>
              <w:rPr>
                <w:i/>
                <w:iCs/>
                <w:color w:val="000000"/>
                <w:kern w:val="0"/>
                <w:szCs w:val="21"/>
                <w:lang w:bidi="en-US"/>
              </w:rPr>
              <w:t>m</w:t>
            </w:r>
          </w:p>
          <w:p>
            <w:pPr>
              <w:jc w:val="center"/>
              <w:rPr>
                <w:color w:val="000000"/>
                <w:kern w:val="0"/>
                <w:szCs w:val="21"/>
                <w:lang w:bidi="en-US"/>
              </w:rPr>
            </w:pPr>
            <w:r>
              <w:rPr>
                <w:color w:val="000000"/>
                <w:kern w:val="0"/>
                <w:szCs w:val="21"/>
                <w:lang w:bidi="en-US"/>
              </w:rPr>
              <w:t>mg/kg</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r</w:t>
            </w:r>
          </w:p>
          <w:p>
            <w:pPr>
              <w:jc w:val="center"/>
              <w:rPr>
                <w:color w:val="000000"/>
                <w:kern w:val="0"/>
                <w:szCs w:val="21"/>
                <w:lang w:bidi="en-US"/>
              </w:rPr>
            </w:pPr>
            <w:r>
              <w:rPr>
                <w:color w:val="000000"/>
                <w:kern w:val="0"/>
                <w:szCs w:val="21"/>
                <w:lang w:bidi="en-US"/>
              </w:rPr>
              <w:t>mg/kg</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i/>
                <w:iCs/>
                <w:color w:val="000000"/>
                <w:kern w:val="0"/>
                <w:szCs w:val="21"/>
                <w:lang w:bidi="en-US"/>
              </w:rPr>
            </w:pPr>
            <w:r>
              <w:rPr>
                <w:i/>
                <w:iCs/>
                <w:color w:val="000000"/>
                <w:kern w:val="0"/>
                <w:szCs w:val="21"/>
                <w:lang w:bidi="en-US"/>
              </w:rPr>
              <w:t>R</w:t>
            </w:r>
          </w:p>
          <w:p>
            <w:pPr>
              <w:jc w:val="center"/>
              <w:rPr>
                <w:color w:val="000000"/>
                <w:kern w:val="0"/>
                <w:szCs w:val="21"/>
                <w:lang w:bidi="en-US"/>
              </w:rPr>
            </w:pPr>
            <w:r>
              <w:rPr>
                <w:color w:val="000000"/>
                <w:kern w:val="0"/>
                <w:szCs w:val="21"/>
                <w:lang w:bidi="en-US"/>
              </w:rPr>
              <w:t>mg/kg</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36</w:t>
            </w:r>
          </w:p>
        </w:tc>
        <w:tc>
          <w:tcPr>
            <w:tcW w:w="1894"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4 513</w:t>
            </w:r>
            <w:r>
              <w:rPr>
                <w:rFonts w:hint="eastAsia"/>
                <w:color w:val="000000"/>
                <w:kern w:val="0"/>
                <w:szCs w:val="21"/>
                <w:lang w:eastAsia="zh-CN" w:bidi="en-US"/>
              </w:rPr>
              <w:t>.</w:t>
            </w:r>
            <w:r>
              <w:rPr>
                <w:color w:val="000000"/>
                <w:kern w:val="0"/>
                <w:szCs w:val="21"/>
                <w:lang w:bidi="en-US"/>
              </w:rPr>
              <w:t>2</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881</w:t>
            </w:r>
            <w:r>
              <w:rPr>
                <w:rFonts w:hint="eastAsia"/>
                <w:color w:val="000000"/>
                <w:kern w:val="0"/>
                <w:szCs w:val="21"/>
                <w:lang w:eastAsia="zh-CN" w:bidi="en-US"/>
              </w:rPr>
              <w:t>.</w:t>
            </w:r>
            <w:r>
              <w:rPr>
                <w:color w:val="000000"/>
                <w:kern w:val="0"/>
                <w:szCs w:val="21"/>
                <w:lang w:bidi="en-US"/>
              </w:rPr>
              <w:t>17</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4 427</w:t>
            </w:r>
            <w:r>
              <w:rPr>
                <w:rFonts w:hint="eastAsia"/>
                <w:color w:val="000000"/>
                <w:kern w:val="0"/>
                <w:szCs w:val="21"/>
                <w:lang w:eastAsia="zh-CN" w:bidi="en-US"/>
              </w:rPr>
              <w:t>.</w:t>
            </w:r>
            <w:r>
              <w:rPr>
                <w:color w:val="000000"/>
                <w:kern w:val="0"/>
                <w:szCs w:val="21"/>
                <w:lang w:bidi="en-US"/>
              </w:rPr>
              <w:t>02</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24</w:t>
            </w:r>
          </w:p>
        </w:tc>
        <w:tc>
          <w:tcPr>
            <w:tcW w:w="1894"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10 623</w:t>
            </w:r>
            <w:r>
              <w:rPr>
                <w:rFonts w:hint="eastAsia"/>
                <w:color w:val="000000"/>
                <w:kern w:val="0"/>
                <w:szCs w:val="21"/>
                <w:lang w:eastAsia="zh-CN" w:bidi="en-US"/>
              </w:rPr>
              <w:t>.</w:t>
            </w:r>
            <w:r>
              <w:rPr>
                <w:color w:val="000000"/>
                <w:kern w:val="0"/>
                <w:szCs w:val="21"/>
                <w:lang w:bidi="en-US"/>
              </w:rPr>
              <w:t>71</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3 421</w:t>
            </w:r>
            <w:r>
              <w:rPr>
                <w:rFonts w:hint="eastAsia"/>
                <w:color w:val="000000"/>
                <w:kern w:val="0"/>
                <w:szCs w:val="21"/>
                <w:lang w:eastAsia="zh-CN" w:bidi="en-US"/>
              </w:rPr>
              <w:t>.</w:t>
            </w:r>
            <w:r>
              <w:rPr>
                <w:color w:val="000000"/>
                <w:kern w:val="0"/>
                <w:szCs w:val="21"/>
                <w:lang w:bidi="en-US"/>
              </w:rPr>
              <w:t>82</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7 942</w:t>
            </w:r>
            <w:r>
              <w:rPr>
                <w:rFonts w:hint="eastAsia"/>
                <w:color w:val="000000"/>
                <w:kern w:val="0"/>
                <w:szCs w:val="21"/>
                <w:lang w:eastAsia="zh-CN" w:bidi="en-US"/>
              </w:rPr>
              <w:t>.</w:t>
            </w:r>
            <w:r>
              <w:rPr>
                <w:color w:val="000000"/>
                <w:kern w:val="0"/>
                <w:szCs w:val="21"/>
                <w:lang w:bidi="en-US"/>
              </w:rPr>
              <w:t>11</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24</w:t>
            </w:r>
          </w:p>
        </w:tc>
        <w:tc>
          <w:tcPr>
            <w:tcW w:w="189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9 924</w:t>
            </w:r>
            <w:r>
              <w:rPr>
                <w:rFonts w:hint="eastAsia"/>
                <w:color w:val="000000"/>
                <w:kern w:val="0"/>
                <w:szCs w:val="21"/>
                <w:lang w:eastAsia="zh-CN" w:bidi="en-US"/>
              </w:rPr>
              <w:t>.</w:t>
            </w:r>
            <w:r>
              <w:rPr>
                <w:color w:val="000000"/>
                <w:kern w:val="0"/>
                <w:szCs w:val="21"/>
                <w:lang w:bidi="en-US"/>
              </w:rPr>
              <w:t>00</w:t>
            </w:r>
          </w:p>
        </w:tc>
        <w:tc>
          <w:tcPr>
            <w:tcW w:w="18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1 882</w:t>
            </w:r>
            <w:r>
              <w:rPr>
                <w:rFonts w:hint="eastAsia"/>
                <w:color w:val="000000"/>
                <w:kern w:val="0"/>
                <w:szCs w:val="21"/>
                <w:lang w:eastAsia="zh-CN" w:bidi="en-US"/>
              </w:rPr>
              <w:t>.</w:t>
            </w:r>
            <w:r>
              <w:rPr>
                <w:color w:val="000000"/>
                <w:kern w:val="0"/>
                <w:szCs w:val="21"/>
                <w:lang w:bidi="en-US"/>
              </w:rPr>
              <w:t>62</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5 203</w:t>
            </w:r>
            <w:r>
              <w:rPr>
                <w:rFonts w:hint="eastAsia"/>
                <w:color w:val="000000"/>
                <w:kern w:val="0"/>
                <w:szCs w:val="21"/>
                <w:lang w:eastAsia="zh-CN" w:bidi="en-US"/>
              </w:rPr>
              <w:t>.</w:t>
            </w:r>
            <w:r>
              <w:rPr>
                <w:color w:val="000000"/>
                <w:kern w:val="0"/>
                <w:szCs w:val="21"/>
                <w:lang w:bidi="en-US"/>
              </w:rPr>
              <w:t>60</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12</w:t>
            </w:r>
          </w:p>
        </w:tc>
        <w:tc>
          <w:tcPr>
            <w:tcW w:w="189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811</w:t>
            </w:r>
            <w:r>
              <w:rPr>
                <w:rFonts w:hint="eastAsia"/>
                <w:color w:val="000000"/>
                <w:kern w:val="0"/>
                <w:szCs w:val="21"/>
                <w:lang w:eastAsia="zh-CN" w:bidi="en-US"/>
              </w:rPr>
              <w:t>.</w:t>
            </w:r>
            <w:r>
              <w:rPr>
                <w:color w:val="000000"/>
                <w:kern w:val="0"/>
                <w:szCs w:val="21"/>
                <w:lang w:bidi="en-US"/>
              </w:rPr>
              <w:t>83</w:t>
            </w:r>
          </w:p>
        </w:tc>
        <w:tc>
          <w:tcPr>
            <w:tcW w:w="18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254</w:t>
            </w:r>
            <w:r>
              <w:rPr>
                <w:rFonts w:hint="eastAsia"/>
                <w:color w:val="000000"/>
                <w:kern w:val="0"/>
                <w:szCs w:val="21"/>
                <w:lang w:eastAsia="zh-CN" w:bidi="en-US"/>
              </w:rPr>
              <w:t>.</w:t>
            </w:r>
            <w:r>
              <w:rPr>
                <w:color w:val="000000"/>
                <w:kern w:val="0"/>
                <w:szCs w:val="21"/>
                <w:lang w:bidi="en-US"/>
              </w:rPr>
              <w:t>32</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616</w:t>
            </w:r>
            <w:r>
              <w:rPr>
                <w:rFonts w:hint="eastAsia"/>
                <w:color w:val="000000"/>
                <w:kern w:val="0"/>
                <w:szCs w:val="21"/>
                <w:lang w:eastAsia="zh-CN" w:bidi="en-US"/>
              </w:rPr>
              <w:t>.</w:t>
            </w:r>
            <w:r>
              <w:rPr>
                <w:color w:val="000000"/>
                <w:kern w:val="0"/>
                <w:szCs w:val="21"/>
                <w:lang w:bidi="en-US"/>
              </w:rPr>
              <w:t>22</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15</w:t>
            </w:r>
          </w:p>
        </w:tc>
        <w:tc>
          <w:tcPr>
            <w:tcW w:w="1894"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7 991</w:t>
            </w:r>
            <w:r>
              <w:rPr>
                <w:rFonts w:hint="eastAsia"/>
                <w:color w:val="000000"/>
                <w:kern w:val="0"/>
                <w:szCs w:val="21"/>
                <w:lang w:eastAsia="zh-CN" w:bidi="en-US"/>
              </w:rPr>
              <w:t>.</w:t>
            </w:r>
            <w:r>
              <w:rPr>
                <w:color w:val="000000"/>
                <w:kern w:val="0"/>
                <w:szCs w:val="21"/>
                <w:lang w:bidi="en-US"/>
              </w:rPr>
              <w:t>13</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2 588</w:t>
            </w:r>
            <w:r>
              <w:rPr>
                <w:rFonts w:hint="eastAsia"/>
                <w:color w:val="000000"/>
                <w:kern w:val="0"/>
                <w:szCs w:val="21"/>
                <w:lang w:eastAsia="zh-CN" w:bidi="en-US"/>
              </w:rPr>
              <w:t>.</w:t>
            </w:r>
            <w:r>
              <w:rPr>
                <w:color w:val="000000"/>
                <w:kern w:val="0"/>
                <w:szCs w:val="21"/>
                <w:lang w:bidi="en-US"/>
              </w:rPr>
              <w:t>69</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4 599</w:t>
            </w:r>
            <w:r>
              <w:rPr>
                <w:rFonts w:hint="eastAsia"/>
                <w:color w:val="000000"/>
                <w:kern w:val="0"/>
                <w:szCs w:val="21"/>
                <w:lang w:eastAsia="zh-CN" w:bidi="en-US"/>
              </w:rPr>
              <w:t>.</w:t>
            </w:r>
            <w:r>
              <w:rPr>
                <w:color w:val="000000"/>
                <w:kern w:val="0"/>
                <w:szCs w:val="21"/>
                <w:lang w:bidi="en-US"/>
              </w:rPr>
              <w:t>88</w:t>
            </w:r>
          </w:p>
        </w:tc>
      </w:tr>
      <w:tr>
        <w:tblPrEx>
          <w:tblCellMar>
            <w:top w:w="0" w:type="dxa"/>
            <w:left w:w="57" w:type="dxa"/>
            <w:bottom w:w="0" w:type="dxa"/>
            <w:right w:w="57" w:type="dxa"/>
          </w:tblCellMar>
        </w:tblPrEx>
        <w:tc>
          <w:tcPr>
            <w:tcW w:w="9468" w:type="dxa"/>
            <w:gridSpan w:val="5"/>
            <w:tcBorders>
              <w:top w:val="single" w:color="auto" w:sz="4" w:space="0"/>
              <w:left w:val="single" w:color="auto" w:sz="4" w:space="0"/>
              <w:bottom w:val="single" w:color="auto" w:sz="4" w:space="0"/>
              <w:right w:val="single" w:color="auto" w:sz="4" w:space="0"/>
            </w:tcBorders>
            <w:shd w:val="clear" w:color="auto" w:fill="FFFFFF"/>
            <w:vAlign w:val="bottom"/>
          </w:tcPr>
          <w:p>
            <w:pPr>
              <w:rPr>
                <w:color w:val="000000"/>
                <w:kern w:val="0"/>
                <w:szCs w:val="21"/>
                <w:lang w:bidi="en-US"/>
              </w:rPr>
            </w:pPr>
            <w:r>
              <w:rPr>
                <w:color w:val="000000"/>
                <w:kern w:val="0"/>
                <w:szCs w:val="21"/>
                <w:lang w:bidi="en-US"/>
              </w:rPr>
              <w:t>符号说明</w:t>
            </w:r>
          </w:p>
          <w:p>
            <w:pPr>
              <w:rPr>
                <w:iCs/>
                <w:color w:val="000000"/>
                <w:kern w:val="0"/>
                <w:szCs w:val="21"/>
                <w:lang w:bidi="en-US"/>
              </w:rPr>
            </w:pPr>
            <w:r>
              <w:rPr>
                <w:i/>
                <w:iCs/>
                <w:color w:val="000000"/>
                <w:kern w:val="0"/>
                <w:szCs w:val="21"/>
                <w:lang w:bidi="en-US"/>
              </w:rPr>
              <w:t xml:space="preserve">N </w:t>
            </w:r>
            <w:r>
              <w:rPr>
                <w:i/>
                <w:iCs/>
                <w:color w:val="000000"/>
                <w:kern w:val="0"/>
                <w:szCs w:val="21"/>
                <w:lang w:bidi="en-US"/>
              </w:rPr>
              <w:tab/>
            </w:r>
            <w:r>
              <w:rPr>
                <w:iCs/>
                <w:color w:val="000000"/>
                <w:kern w:val="0"/>
                <w:szCs w:val="21"/>
                <w:lang w:bidi="en-US"/>
              </w:rPr>
              <w:t xml:space="preserve">计算所用的检测结果数量 </w:t>
            </w:r>
          </w:p>
          <w:p>
            <w:pPr>
              <w:rPr>
                <w:iCs/>
                <w:color w:val="000000"/>
                <w:kern w:val="0"/>
                <w:szCs w:val="21"/>
                <w:lang w:bidi="en-US"/>
              </w:rPr>
            </w:pPr>
            <w:r>
              <w:rPr>
                <w:i/>
                <w:iCs/>
                <w:color w:val="000000"/>
                <w:kern w:val="0"/>
                <w:szCs w:val="21"/>
                <w:lang w:bidi="en-US"/>
              </w:rPr>
              <w:t xml:space="preserve">m </w:t>
            </w:r>
            <w:r>
              <w:rPr>
                <w:i/>
                <w:iCs/>
                <w:color w:val="000000"/>
                <w:kern w:val="0"/>
                <w:szCs w:val="21"/>
                <w:lang w:bidi="en-US"/>
              </w:rPr>
              <w:tab/>
            </w:r>
            <w:r>
              <w:rPr>
                <w:iCs/>
                <w:color w:val="000000"/>
                <w:kern w:val="0"/>
                <w:szCs w:val="21"/>
                <w:lang w:bidi="en-US"/>
              </w:rPr>
              <w:t>平均值</w:t>
            </w:r>
            <w:r>
              <w:rPr>
                <w:iCs/>
                <w:color w:val="000000"/>
                <w:kern w:val="0"/>
                <w:szCs w:val="21"/>
                <w:highlight w:val="none"/>
                <w:lang w:bidi="en-US"/>
              </w:rPr>
              <w:t xml:space="preserve">（单位：mg/kg） </w:t>
            </w:r>
          </w:p>
          <w:p>
            <w:pPr>
              <w:rPr>
                <w:color w:val="000000"/>
                <w:kern w:val="0"/>
                <w:szCs w:val="21"/>
                <w:lang w:bidi="en-US"/>
              </w:rPr>
            </w:pPr>
            <w:r>
              <w:rPr>
                <w:color w:val="000000"/>
                <w:kern w:val="0"/>
                <w:szCs w:val="21"/>
                <w:lang w:bidi="en-US"/>
              </w:rPr>
              <w:t>r   重复性</w:t>
            </w:r>
            <w:r>
              <w:rPr>
                <w:kern w:val="0"/>
                <w:szCs w:val="21"/>
              </w:rPr>
              <w:t>限</w:t>
            </w:r>
            <w:r>
              <w:rPr>
                <w:color w:val="000000"/>
                <w:kern w:val="0"/>
                <w:szCs w:val="21"/>
                <w:lang w:bidi="en-US"/>
              </w:rPr>
              <w:t xml:space="preserve"> </w:t>
            </w:r>
          </w:p>
          <w:p>
            <w:pPr>
              <w:rPr>
                <w:iCs/>
                <w:color w:val="000000"/>
                <w:kern w:val="0"/>
                <w:szCs w:val="21"/>
                <w:lang w:bidi="en-US"/>
              </w:rPr>
            </w:pPr>
            <w:r>
              <w:rPr>
                <w:i/>
                <w:iCs/>
                <w:color w:val="000000"/>
                <w:kern w:val="0"/>
                <w:szCs w:val="21"/>
                <w:lang w:bidi="en-US"/>
              </w:rPr>
              <w:t xml:space="preserve">R </w:t>
            </w:r>
            <w:r>
              <w:rPr>
                <w:i/>
                <w:iCs/>
                <w:color w:val="000000"/>
                <w:kern w:val="0"/>
                <w:szCs w:val="21"/>
                <w:lang w:bidi="en-US"/>
              </w:rPr>
              <w:tab/>
            </w:r>
            <w:r>
              <w:rPr>
                <w:iCs/>
                <w:color w:val="000000"/>
                <w:kern w:val="0"/>
                <w:szCs w:val="21"/>
                <w:lang w:bidi="en-US"/>
              </w:rPr>
              <w:t>再现性</w:t>
            </w:r>
            <w:r>
              <w:rPr>
                <w:kern w:val="0"/>
                <w:szCs w:val="21"/>
              </w:rPr>
              <w:t>限</w:t>
            </w:r>
          </w:p>
        </w:tc>
      </w:tr>
    </w:tbl>
    <w:p>
      <w:pPr>
        <w:ind w:firstLine="420" w:firstLineChars="200"/>
        <w:rPr>
          <w:kern w:val="0"/>
          <w:szCs w:val="21"/>
        </w:rPr>
      </w:pPr>
      <w:r>
        <w:rPr>
          <w:kern w:val="0"/>
          <w:szCs w:val="21"/>
        </w:rPr>
        <w:t>支持数据详见附录C（国际实验室间研究结果（IIS 9））。</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11 质量保证与质量控制</w:t>
      </w:r>
    </w:p>
    <w:p>
      <w:pPr>
        <w:pStyle w:val="47"/>
      </w:pPr>
      <w:bookmarkStart w:id="28" w:name="bookmark20"/>
      <w:r>
        <w:t>11.1 性能</w:t>
      </w:r>
      <w:bookmarkEnd w:id="28"/>
    </w:p>
    <w:p>
      <w:pPr>
        <w:ind w:firstLine="420" w:firstLineChars="200"/>
        <w:rPr>
          <w:kern w:val="0"/>
          <w:szCs w:val="21"/>
        </w:rPr>
      </w:pPr>
      <w:r>
        <w:rPr>
          <w:kern w:val="0"/>
          <w:szCs w:val="21"/>
        </w:rPr>
        <w:t>按以下步骤进行质量控制：</w:t>
      </w:r>
    </w:p>
    <w:p>
      <w:pPr>
        <w:ind w:left="851" w:leftChars="200" w:hanging="431"/>
        <w:rPr>
          <w:color w:val="000000"/>
          <w:kern w:val="0"/>
          <w:szCs w:val="21"/>
          <w:lang w:bidi="en-US"/>
        </w:rPr>
      </w:pPr>
      <w:r>
        <w:rPr>
          <w:color w:val="000000"/>
          <w:kern w:val="0"/>
          <w:szCs w:val="21"/>
          <w:lang w:bidi="en-US"/>
        </w:rPr>
        <w:t>a）</w:t>
      </w:r>
      <w:r>
        <w:rPr>
          <w:color w:val="000000"/>
          <w:kern w:val="0"/>
          <w:szCs w:val="21"/>
          <w:lang w:bidi="en-US"/>
        </w:rPr>
        <w:tab/>
      </w:r>
      <w:r>
        <w:rPr>
          <w:color w:val="000000"/>
          <w:kern w:val="0"/>
          <w:szCs w:val="21"/>
          <w:lang w:bidi="en-US"/>
        </w:rPr>
        <w:t>每个样品序列都应提取一份试剂空白。试剂空白</w:t>
      </w:r>
      <w:r>
        <w:rPr>
          <w:rFonts w:hint="eastAsia"/>
          <w:color w:val="000000"/>
          <w:kern w:val="0"/>
          <w:szCs w:val="21"/>
          <w:lang w:val="en-US" w:eastAsia="zh-CN" w:bidi="en-US"/>
        </w:rPr>
        <w:t>是 6</w:t>
      </w:r>
      <w:r>
        <w:rPr>
          <w:color w:val="000000"/>
          <w:kern w:val="0"/>
          <w:szCs w:val="21"/>
          <w:lang w:bidi="en-US"/>
        </w:rPr>
        <w:t>0</w:t>
      </w:r>
      <w:r>
        <w:rPr>
          <w:rFonts w:hint="eastAsia"/>
          <w:color w:val="000000"/>
          <w:kern w:val="0"/>
          <w:szCs w:val="21"/>
          <w:lang w:eastAsia="zh-CN" w:bidi="en-US"/>
        </w:rPr>
        <w:t xml:space="preserve"> mL</w:t>
      </w:r>
      <w:r>
        <w:rPr>
          <w:color w:val="000000"/>
          <w:kern w:val="0"/>
          <w:szCs w:val="21"/>
          <w:lang w:bidi="en-US"/>
        </w:rPr>
        <w:t>的</w:t>
      </w:r>
      <w:r>
        <w:rPr>
          <w:rFonts w:hint="eastAsia"/>
          <w:color w:val="000000"/>
          <w:kern w:val="0"/>
          <w:szCs w:val="21"/>
          <w:lang w:val="en-US" w:eastAsia="zh-CN" w:bidi="en-US"/>
        </w:rPr>
        <w:t>试</w:t>
      </w:r>
      <w:r>
        <w:rPr>
          <w:color w:val="000000"/>
          <w:kern w:val="0"/>
          <w:szCs w:val="21"/>
          <w:lang w:bidi="en-US"/>
        </w:rPr>
        <w:t>剂</w:t>
      </w:r>
      <w:r>
        <w:rPr>
          <w:rFonts w:hint="eastAsia"/>
          <w:color w:val="000000"/>
          <w:kern w:val="0"/>
          <w:szCs w:val="21"/>
          <w:lang w:val="en-US" w:eastAsia="zh-CN" w:bidi="en-US"/>
        </w:rPr>
        <w:t>经过</w:t>
      </w:r>
      <w:r>
        <w:rPr>
          <w:color w:val="000000"/>
          <w:kern w:val="0"/>
          <w:szCs w:val="21"/>
          <w:lang w:bidi="en-US"/>
        </w:rPr>
        <w:t>8.2.3或8.2.4</w:t>
      </w:r>
      <w:r>
        <w:rPr>
          <w:rFonts w:hint="eastAsia"/>
          <w:color w:val="000000"/>
          <w:kern w:val="0"/>
          <w:szCs w:val="21"/>
          <w:lang w:val="en-US" w:eastAsia="zh-CN" w:bidi="en-US"/>
        </w:rPr>
        <w:t>所述</w:t>
      </w:r>
      <w:r>
        <w:rPr>
          <w:color w:val="000000"/>
          <w:kern w:val="0"/>
          <w:szCs w:val="21"/>
          <w:lang w:bidi="en-US"/>
        </w:rPr>
        <w:t>的</w:t>
      </w:r>
      <w:r>
        <w:rPr>
          <w:rFonts w:hint="eastAsia"/>
          <w:color w:val="000000"/>
          <w:kern w:val="0"/>
          <w:szCs w:val="21"/>
          <w:lang w:val="en-US" w:eastAsia="zh-CN" w:bidi="en-US"/>
        </w:rPr>
        <w:t>整个提取过程后获得的</w:t>
      </w:r>
      <w:r>
        <w:rPr>
          <w:color w:val="000000"/>
          <w:kern w:val="0"/>
          <w:szCs w:val="21"/>
          <w:lang w:bidi="en-US"/>
        </w:rPr>
        <w:t>。方法空白样品中确定的HBCDD化合物浓度应低于每种化合物的方法检出限。</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rFonts w:hint="eastAsia"/>
          <w:color w:val="000000"/>
          <w:kern w:val="0"/>
          <w:szCs w:val="21"/>
          <w:lang w:val="en-US" w:eastAsia="zh-CN" w:bidi="en-US"/>
        </w:rPr>
        <w:t>根据每一批样品数量，每批样品或者每10个样品中应有一个样品加标，加</w:t>
      </w:r>
      <w:r>
        <w:rPr>
          <w:color w:val="000000"/>
          <w:kern w:val="0"/>
          <w:szCs w:val="21"/>
          <w:lang w:bidi="en-US"/>
        </w:rPr>
        <w:t>入10μg HBCDD（见8.2.1）。计算时应使用</w:t>
      </w:r>
      <w:r>
        <w:rPr>
          <w:rFonts w:hint="eastAsia"/>
          <w:color w:val="000000"/>
          <w:kern w:val="0"/>
          <w:szCs w:val="21"/>
          <w:lang w:eastAsia="zh-CN" w:bidi="en-US"/>
        </w:rPr>
        <w:t>公式</w:t>
      </w:r>
      <w:r>
        <w:rPr>
          <w:color w:val="000000"/>
          <w:kern w:val="0"/>
          <w:szCs w:val="21"/>
          <w:lang w:bidi="en-US"/>
        </w:rPr>
        <w:t>（7）。</w:t>
      </w:r>
    </w:p>
    <w:p>
      <w:pPr>
        <w:tabs>
          <w:tab w:val="left" w:pos="5103"/>
        </w:tabs>
        <w:adjustRightInd w:val="0"/>
        <w:snapToGrid w:val="0"/>
        <w:spacing w:before="156" w:beforeLines="50" w:after="156" w:afterLines="50"/>
        <w:jc w:val="center"/>
        <w:rPr>
          <w:color w:val="000000"/>
          <w:kern w:val="0"/>
          <w:szCs w:val="21"/>
          <w:lang w:bidi="en-US"/>
        </w:rPr>
      </w:pPr>
      <w:r>
        <w:rPr>
          <w:rFonts w:hint="eastAsia" w:ascii="Cambria Math" w:hAnsi="Cambria Math"/>
          <w:i/>
          <w:color w:val="000000"/>
          <w:kern w:val="0"/>
          <w:szCs w:val="21"/>
          <w:lang w:val="en-US" w:eastAsia="zh-CN" w:bidi="en-US"/>
        </w:rPr>
        <w:t xml:space="preserve">                             </w:t>
      </w:r>
      <w:r>
        <w:rPr>
          <w:rFonts w:ascii="Cambria Math" w:hAnsi="Cambria Math"/>
          <w:i/>
          <w:color w:val="000000"/>
          <w:kern w:val="0"/>
          <w:position w:val="-30"/>
          <w:szCs w:val="21"/>
          <w:lang w:bidi="en-US"/>
        </w:rPr>
        <w:object>
          <v:shape id="_x0000_i1031" o:spt="75" type="#_x0000_t75" style="height:34pt;width:94pt;" o:ole="t" filled="f" o:preferrelative="t" stroked="f" coordsize="21600,21600">
            <v:path/>
            <v:fill on="f" focussize="0,0"/>
            <v:stroke on="f"/>
            <v:imagedata r:id="rId28" o:title=""/>
            <o:lock v:ext="edit" aspectratio="t"/>
            <w10:wrap type="none"/>
            <w10:anchorlock/>
          </v:shape>
          <o:OLEObject Type="Embed" ProgID="Equation.KSEE3" ShapeID="_x0000_i1031" DrawAspect="Content" ObjectID="_1468075731" r:id="rId27">
            <o:LockedField>false</o:LockedField>
          </o:OLEObject>
        </w:object>
      </w:r>
      <w:r>
        <w:rPr>
          <w:rFonts w:hint="eastAsia" w:ascii="Cambria Math" w:hAnsi="Cambria Math"/>
          <w:i/>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color w:val="000000"/>
          <w:kern w:val="0"/>
          <w:szCs w:val="21"/>
          <w:lang w:val="en-US" w:eastAsia="zh-CN" w:bidi="en-US"/>
        </w:rPr>
        <w:t>7</w:t>
      </w:r>
      <w:r>
        <w:rPr>
          <w:rStyle w:val="178"/>
          <w:rFonts w:hint="eastAsia" w:ascii="Times New Roman" w:hAnsi="Times New Roman" w:eastAsia="宋体" w:cs="Times New Roman"/>
          <w:color w:val="000000"/>
          <w:sz w:val="21"/>
          <w:szCs w:val="21"/>
          <w:highlight w:val="none"/>
          <w:lang w:val="en-US" w:eastAsia="zh-CN"/>
        </w:rPr>
        <w:t>）</w:t>
      </w:r>
    </w:p>
    <w:p>
      <w:pPr>
        <w:ind w:firstLine="420" w:firstLineChars="200"/>
        <w:rPr>
          <w:kern w:val="0"/>
          <w:szCs w:val="21"/>
        </w:rPr>
      </w:pPr>
      <w:r>
        <w:rPr>
          <w:rFonts w:hint="eastAsia"/>
          <w:kern w:val="0"/>
          <w:szCs w:val="21"/>
          <w:lang w:val="en-US" w:eastAsia="zh-CN"/>
        </w:rPr>
        <w:t xml:space="preserve">    </w:t>
      </w:r>
      <w:r>
        <w:rPr>
          <w:kern w:val="0"/>
          <w:szCs w:val="21"/>
        </w:rPr>
        <w:t>式中：</w:t>
      </w:r>
    </w:p>
    <w:p>
      <w:pPr>
        <w:ind w:firstLine="420" w:firstLineChars="200"/>
        <w:rPr>
          <w:iCs/>
          <w:kern w:val="0"/>
          <w:szCs w:val="21"/>
        </w:rPr>
      </w:pPr>
      <w:r>
        <w:rPr>
          <w:rFonts w:hint="eastAsia"/>
          <w:i/>
          <w:iCs/>
          <w:kern w:val="0"/>
          <w:szCs w:val="21"/>
          <w:lang w:val="en-US" w:eastAsia="zh-CN"/>
        </w:rPr>
        <w:t xml:space="preserve">    </w:t>
      </w:r>
      <w:r>
        <w:rPr>
          <w:i/>
          <w:iCs/>
          <w:kern w:val="0"/>
          <w:szCs w:val="21"/>
        </w:rPr>
        <w:t>HR</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HBCDD的回收率，单位为%；</w:t>
      </w:r>
    </w:p>
    <w:p>
      <w:pPr>
        <w:ind w:firstLine="420" w:firstLineChars="200"/>
        <w:rPr>
          <w:kern w:val="0"/>
          <w:szCs w:val="21"/>
        </w:rPr>
      </w:pPr>
      <w:r>
        <w:rPr>
          <w:rFonts w:hint="eastAsia"/>
          <w:i/>
          <w:iCs/>
          <w:kern w:val="0"/>
          <w:szCs w:val="21"/>
          <w:lang w:val="en-US" w:eastAsia="zh-CN"/>
        </w:rPr>
        <w:t xml:space="preserve">    </w:t>
      </w:r>
      <w:r>
        <w:rPr>
          <w:i/>
          <w:iCs/>
          <w:kern w:val="0"/>
          <w:szCs w:val="21"/>
        </w:rPr>
        <w:t>C</w:t>
      </w:r>
      <w:r>
        <w:rPr>
          <w:i/>
          <w:iCs/>
          <w:kern w:val="0"/>
          <w:szCs w:val="21"/>
          <w:vertAlign w:val="subscript"/>
        </w:rPr>
        <w:t>m</w:t>
      </w:r>
      <w:r>
        <w:rPr>
          <w:rFonts w:hint="eastAsia"/>
          <w:kern w:val="0"/>
          <w:szCs w:val="21"/>
          <w:vertAlign w:val="subscript"/>
          <w:lang w:val="en-US" w:eastAsia="zh-CN"/>
        </w:rPr>
        <w:t xml:space="preserve"> </w:t>
      </w:r>
      <w:r>
        <w:rPr>
          <w:rStyle w:val="207"/>
          <w:rFonts w:ascii="Times New Roman" w:hAnsi="Times New Roman" w:cs="Times New Roman" w:eastAsiaTheme="minorEastAsia"/>
          <w:color w:val="000000"/>
          <w:sz w:val="18"/>
          <w:szCs w:val="18"/>
        </w:rPr>
        <w:t>——</w:t>
      </w:r>
      <w:r>
        <w:rPr>
          <w:kern w:val="0"/>
          <w:szCs w:val="21"/>
        </w:rPr>
        <w:t>基质加标溶液中HBCDD的浓度，</w:t>
      </w:r>
      <w:r>
        <w:rPr>
          <w:rFonts w:hint="eastAsia"/>
          <w:kern w:val="0"/>
          <w:szCs w:val="21"/>
          <w:lang w:eastAsia="zh-CN"/>
        </w:rPr>
        <w:t>单位为微克每毫升（</w:t>
      </w:r>
      <w:r>
        <w:rPr>
          <w:kern w:val="0"/>
          <w:szCs w:val="21"/>
        </w:rPr>
        <w:t>μg</w:t>
      </w:r>
      <w:r>
        <w:rPr>
          <w:rFonts w:hint="eastAsia"/>
          <w:kern w:val="0"/>
          <w:szCs w:val="21"/>
          <w:lang w:val="en-US" w:eastAsia="zh-CN"/>
        </w:rPr>
        <w:t>/mL</w:t>
      </w:r>
      <w:r>
        <w:rPr>
          <w:rFonts w:hint="eastAsia"/>
          <w:kern w:val="0"/>
          <w:szCs w:val="21"/>
          <w:lang w:eastAsia="zh-CN"/>
        </w:rPr>
        <w:t>）</w:t>
      </w:r>
      <w:r>
        <w:rPr>
          <w:kern w:val="0"/>
          <w:szCs w:val="21"/>
        </w:rPr>
        <w:t>；</w:t>
      </w:r>
    </w:p>
    <w:p>
      <w:pPr>
        <w:ind w:firstLine="420" w:firstLineChars="200"/>
        <w:rPr>
          <w:iCs/>
          <w:kern w:val="0"/>
          <w:szCs w:val="21"/>
        </w:rPr>
      </w:pPr>
      <w:r>
        <w:rPr>
          <w:rFonts w:hint="eastAsia"/>
          <w:i w:val="0"/>
          <w:iCs w:val="0"/>
          <w:kern w:val="0"/>
          <w:szCs w:val="21"/>
          <w:lang w:val="en-US" w:eastAsia="zh-CN"/>
        </w:rPr>
        <w:t xml:space="preserve">    </w:t>
      </w:r>
      <w:r>
        <w:rPr>
          <w:i w:val="0"/>
          <w:iCs w:val="0"/>
          <w:kern w:val="0"/>
          <w:szCs w:val="21"/>
        </w:rPr>
        <w:t>C</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原始样品中HBCDD的浓度，</w:t>
      </w:r>
      <w:r>
        <w:rPr>
          <w:rFonts w:hint="eastAsia"/>
          <w:iCs/>
          <w:kern w:val="0"/>
          <w:szCs w:val="21"/>
          <w:lang w:eastAsia="zh-CN"/>
        </w:rPr>
        <w:t>单位为微克每毫升（</w:t>
      </w:r>
      <w:r>
        <w:rPr>
          <w:kern w:val="0"/>
          <w:szCs w:val="21"/>
        </w:rPr>
        <w:t>μg</w:t>
      </w:r>
      <w:r>
        <w:rPr>
          <w:rFonts w:hint="eastAsia"/>
          <w:kern w:val="0"/>
          <w:szCs w:val="21"/>
          <w:lang w:val="en-US" w:eastAsia="zh-CN"/>
        </w:rPr>
        <w:t>/mL</w:t>
      </w:r>
      <w:r>
        <w:rPr>
          <w:rFonts w:hint="eastAsia"/>
          <w:iCs/>
          <w:kern w:val="0"/>
          <w:szCs w:val="21"/>
          <w:lang w:eastAsia="zh-CN"/>
        </w:rPr>
        <w:t>）</w:t>
      </w:r>
      <w:r>
        <w:rPr>
          <w:iCs/>
          <w:kern w:val="0"/>
          <w:szCs w:val="21"/>
        </w:rPr>
        <w:t>；</w:t>
      </w:r>
    </w:p>
    <w:p>
      <w:pPr>
        <w:ind w:firstLine="420" w:firstLineChars="200"/>
        <w:rPr>
          <w:kern w:val="0"/>
          <w:szCs w:val="21"/>
        </w:rPr>
      </w:pPr>
      <w:r>
        <w:rPr>
          <w:rFonts w:hint="eastAsia"/>
          <w:i/>
          <w:iCs/>
          <w:kern w:val="0"/>
          <w:szCs w:val="21"/>
          <w:lang w:val="en-US" w:eastAsia="zh-CN"/>
        </w:rPr>
        <w:t xml:space="preserve">    </w:t>
      </w:r>
      <w:r>
        <w:rPr>
          <w:i/>
          <w:iCs/>
          <w:kern w:val="0"/>
          <w:szCs w:val="21"/>
        </w:rPr>
        <w:t>C</w:t>
      </w:r>
      <w:r>
        <w:rPr>
          <w:i/>
          <w:iCs/>
          <w:kern w:val="0"/>
          <w:szCs w:val="21"/>
          <w:vertAlign w:val="subscript"/>
        </w:rPr>
        <w:t>S</w:t>
      </w:r>
      <w:r>
        <w:rPr>
          <w:rFonts w:hint="eastAsia"/>
          <w:i/>
          <w:iCs/>
          <w:kern w:val="0"/>
          <w:szCs w:val="21"/>
          <w:vertAlign w:val="subscript"/>
          <w:lang w:val="en-US" w:eastAsia="zh-CN"/>
        </w:rPr>
        <w:t xml:space="preserve"> </w:t>
      </w:r>
      <w:r>
        <w:rPr>
          <w:rStyle w:val="207"/>
          <w:rFonts w:ascii="Times New Roman" w:hAnsi="Times New Roman" w:cs="Times New Roman" w:eastAsiaTheme="minorEastAsia"/>
          <w:color w:val="000000"/>
          <w:sz w:val="18"/>
          <w:szCs w:val="18"/>
        </w:rPr>
        <w:t>——</w:t>
      </w:r>
      <w:r>
        <w:rPr>
          <w:kern w:val="0"/>
          <w:szCs w:val="21"/>
        </w:rPr>
        <w:t>HBCDD加标溶液的浓度，</w:t>
      </w:r>
      <w:r>
        <w:rPr>
          <w:rFonts w:hint="eastAsia"/>
          <w:kern w:val="0"/>
          <w:szCs w:val="21"/>
          <w:lang w:eastAsia="zh-CN"/>
        </w:rPr>
        <w:t>单位为微克每毫升（</w:t>
      </w:r>
      <w:r>
        <w:rPr>
          <w:kern w:val="0"/>
          <w:szCs w:val="21"/>
        </w:rPr>
        <w:t>μg</w:t>
      </w:r>
      <w:r>
        <w:rPr>
          <w:rFonts w:hint="eastAsia"/>
          <w:kern w:val="0"/>
          <w:szCs w:val="21"/>
          <w:lang w:val="en-US" w:eastAsia="zh-CN"/>
        </w:rPr>
        <w:t>/mL</w:t>
      </w:r>
      <w:r>
        <w:rPr>
          <w:rFonts w:hint="eastAsia"/>
          <w:kern w:val="0"/>
          <w:szCs w:val="21"/>
          <w:lang w:eastAsia="zh-CN"/>
        </w:rPr>
        <w:t>）</w:t>
      </w:r>
      <w:r>
        <w:rPr>
          <w:kern w:val="0"/>
          <w:szCs w:val="21"/>
        </w:rPr>
        <w:t>。</w:t>
      </w:r>
    </w:p>
    <w:p>
      <w:pPr>
        <w:ind w:firstLine="420" w:firstLineChars="200"/>
        <w:rPr>
          <w:kern w:val="0"/>
          <w:szCs w:val="21"/>
        </w:rPr>
      </w:pPr>
      <w:r>
        <w:rPr>
          <w:rFonts w:hint="eastAsia"/>
          <w:kern w:val="0"/>
          <w:szCs w:val="21"/>
          <w:lang w:val="en-US" w:eastAsia="zh-CN"/>
        </w:rPr>
        <w:t xml:space="preserve">    </w:t>
      </w:r>
      <w:r>
        <w:rPr>
          <w:kern w:val="0"/>
          <w:szCs w:val="21"/>
        </w:rPr>
        <w:t>HBCDD回收率应在50％至150％之间。应</w:t>
      </w:r>
      <w:r>
        <w:rPr>
          <w:rFonts w:hint="eastAsia"/>
          <w:kern w:val="0"/>
          <w:szCs w:val="21"/>
          <w:lang w:val="en-US" w:eastAsia="zh-CN"/>
        </w:rPr>
        <w:t>以</w:t>
      </w:r>
      <w:r>
        <w:rPr>
          <w:kern w:val="0"/>
          <w:szCs w:val="21"/>
        </w:rPr>
        <w:t>表格</w:t>
      </w:r>
      <w:r>
        <w:rPr>
          <w:rFonts w:hint="eastAsia"/>
          <w:kern w:val="0"/>
          <w:szCs w:val="21"/>
          <w:lang w:val="en-US" w:eastAsia="zh-CN"/>
        </w:rPr>
        <w:t>形式</w:t>
      </w:r>
      <w:r>
        <w:rPr>
          <w:kern w:val="0"/>
          <w:szCs w:val="21"/>
        </w:rPr>
        <w:t>记录和跟踪每</w:t>
      </w:r>
      <w:r>
        <w:rPr>
          <w:rFonts w:hint="eastAsia"/>
          <w:kern w:val="0"/>
          <w:szCs w:val="21"/>
          <w:lang w:val="en-US" w:eastAsia="zh-CN"/>
        </w:rPr>
        <w:t>种</w:t>
      </w:r>
      <w:r>
        <w:rPr>
          <w:kern w:val="0"/>
          <w:szCs w:val="21"/>
        </w:rPr>
        <w:t>基质</w:t>
      </w:r>
      <w:r>
        <w:rPr>
          <w:rFonts w:hint="eastAsia"/>
          <w:kern w:val="0"/>
          <w:szCs w:val="21"/>
          <w:lang w:val="en-US" w:eastAsia="zh-CN"/>
        </w:rPr>
        <w:t>添加</w:t>
      </w:r>
      <w:r>
        <w:rPr>
          <w:kern w:val="0"/>
          <w:szCs w:val="21"/>
        </w:rPr>
        <w:t>的回收率，</w:t>
      </w:r>
    </w:p>
    <w:p>
      <w:pPr>
        <w:ind w:firstLine="420" w:firstLineChars="200"/>
        <w:rPr>
          <w:kern w:val="0"/>
          <w:szCs w:val="21"/>
        </w:rPr>
      </w:pPr>
      <w:r>
        <w:rPr>
          <w:rFonts w:hint="eastAsia"/>
          <w:kern w:val="0"/>
          <w:szCs w:val="21"/>
          <w:lang w:val="en-US" w:eastAsia="zh-CN"/>
        </w:rPr>
        <w:t xml:space="preserve">    以</w:t>
      </w:r>
      <w:r>
        <w:rPr>
          <w:kern w:val="0"/>
          <w:szCs w:val="21"/>
        </w:rPr>
        <w:t>确定分析中可能存在的基质效应。</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在每</w:t>
      </w:r>
      <w:r>
        <w:rPr>
          <w:rFonts w:hint="eastAsia"/>
          <w:color w:val="000000"/>
          <w:kern w:val="0"/>
          <w:szCs w:val="21"/>
          <w:lang w:val="en-US" w:eastAsia="zh-CN" w:bidi="en-US"/>
        </w:rPr>
        <w:t>10个</w:t>
      </w:r>
      <w:r>
        <w:rPr>
          <w:color w:val="000000"/>
          <w:kern w:val="0"/>
          <w:szCs w:val="21"/>
          <w:lang w:bidi="en-US"/>
        </w:rPr>
        <w:t>样品</w:t>
      </w:r>
      <w:r>
        <w:rPr>
          <w:color w:val="000000"/>
          <w:kern w:val="0"/>
          <w:szCs w:val="21"/>
          <w:highlight w:val="none"/>
          <w:lang w:bidi="en-US"/>
        </w:rPr>
        <w:t>和每</w:t>
      </w:r>
      <w:r>
        <w:rPr>
          <w:rFonts w:hint="eastAsia"/>
          <w:color w:val="000000"/>
          <w:kern w:val="0"/>
          <w:szCs w:val="21"/>
          <w:highlight w:val="none"/>
          <w:lang w:val="en-US" w:eastAsia="zh-CN" w:bidi="en-US"/>
        </w:rPr>
        <w:t>批</w:t>
      </w:r>
      <w:r>
        <w:rPr>
          <w:color w:val="000000"/>
          <w:kern w:val="0"/>
          <w:szCs w:val="21"/>
          <w:highlight w:val="none"/>
          <w:lang w:bidi="en-US"/>
        </w:rPr>
        <w:t>样品</w:t>
      </w:r>
      <w:r>
        <w:rPr>
          <w:rFonts w:hint="eastAsia"/>
          <w:color w:val="000000"/>
          <w:kern w:val="0"/>
          <w:szCs w:val="21"/>
          <w:highlight w:val="none"/>
          <w:lang w:val="en-US" w:eastAsia="zh-CN" w:bidi="en-US"/>
        </w:rPr>
        <w:t>测试</w:t>
      </w:r>
      <w:r>
        <w:rPr>
          <w:color w:val="000000"/>
          <w:kern w:val="0"/>
          <w:szCs w:val="21"/>
          <w:highlight w:val="none"/>
          <w:lang w:bidi="en-US"/>
        </w:rPr>
        <w:t>结束</w:t>
      </w:r>
      <w:r>
        <w:rPr>
          <w:rFonts w:hint="eastAsia"/>
          <w:color w:val="000000"/>
          <w:kern w:val="0"/>
          <w:szCs w:val="21"/>
          <w:highlight w:val="none"/>
          <w:lang w:val="en-US" w:eastAsia="zh-CN" w:bidi="en-US"/>
        </w:rPr>
        <w:t>后</w:t>
      </w:r>
      <w:r>
        <w:rPr>
          <w:color w:val="000000"/>
          <w:kern w:val="0"/>
          <w:szCs w:val="21"/>
          <w:highlight w:val="none"/>
          <w:lang w:bidi="en-US"/>
        </w:rPr>
        <w:t>，</w:t>
      </w:r>
      <w:r>
        <w:rPr>
          <w:rFonts w:hint="eastAsia"/>
          <w:color w:val="000000"/>
          <w:kern w:val="0"/>
          <w:szCs w:val="21"/>
          <w:highlight w:val="none"/>
          <w:lang w:val="en-US" w:eastAsia="zh-CN" w:bidi="en-US"/>
        </w:rPr>
        <w:t>进行校准曲线核查</w:t>
      </w:r>
      <w:r>
        <w:rPr>
          <w:color w:val="000000"/>
          <w:kern w:val="0"/>
          <w:szCs w:val="21"/>
          <w:highlight w:val="none"/>
          <w:lang w:bidi="en-US"/>
        </w:rPr>
        <w:t>（CCC）标准分析。CCC是一</w:t>
      </w:r>
      <w:r>
        <w:rPr>
          <w:rFonts w:hint="eastAsia"/>
          <w:color w:val="000000"/>
          <w:kern w:val="0"/>
          <w:szCs w:val="21"/>
          <w:highlight w:val="none"/>
          <w:lang w:val="en-US" w:eastAsia="zh-CN" w:bidi="en-US"/>
        </w:rPr>
        <w:t>个</w:t>
      </w:r>
      <w:r>
        <w:rPr>
          <w:color w:val="000000"/>
          <w:kern w:val="0"/>
          <w:szCs w:val="21"/>
          <w:highlight w:val="none"/>
          <w:lang w:bidi="en-US"/>
        </w:rPr>
        <w:t>未</w:t>
      </w:r>
      <w:r>
        <w:rPr>
          <w:rFonts w:hint="eastAsia"/>
          <w:color w:val="000000"/>
          <w:kern w:val="0"/>
          <w:szCs w:val="21"/>
          <w:highlight w:val="none"/>
          <w:lang w:val="en-US" w:eastAsia="zh-CN" w:bidi="en-US"/>
        </w:rPr>
        <w:t>经过提取的可以作为样品分析的具有中间浓度的原校准溶液</w:t>
      </w:r>
      <w:r>
        <w:rPr>
          <w:color w:val="000000"/>
          <w:kern w:val="0"/>
          <w:szCs w:val="21"/>
          <w:lang w:bidi="en-US"/>
        </w:rPr>
        <w:t>。HBCDD回收率应在70％至130 %之间。如果HBCDD的回收率超出</w:t>
      </w:r>
      <w:r>
        <w:rPr>
          <w:rFonts w:hint="eastAsia"/>
          <w:color w:val="000000"/>
          <w:kern w:val="0"/>
          <w:szCs w:val="21"/>
          <w:lang w:val="en-US" w:eastAsia="zh-CN" w:bidi="en-US"/>
        </w:rPr>
        <w:t>此范围</w:t>
      </w:r>
      <w:r>
        <w:rPr>
          <w:color w:val="000000"/>
          <w:kern w:val="0"/>
          <w:szCs w:val="21"/>
          <w:lang w:bidi="en-US"/>
        </w:rPr>
        <w:t>，应在12</w:t>
      </w:r>
      <w:r>
        <w:rPr>
          <w:rFonts w:hint="eastAsia"/>
          <w:color w:val="000000"/>
          <w:kern w:val="0"/>
          <w:szCs w:val="21"/>
          <w:lang w:val="en-US" w:eastAsia="zh-CN" w:bidi="en-US"/>
        </w:rPr>
        <w:t xml:space="preserve"> h</w:t>
      </w:r>
      <w:r>
        <w:rPr>
          <w:color w:val="000000"/>
          <w:kern w:val="0"/>
          <w:szCs w:val="21"/>
          <w:lang w:bidi="en-US"/>
        </w:rPr>
        <w:t>内重新注入CCC</w:t>
      </w:r>
      <w:r>
        <w:rPr>
          <w:rFonts w:hint="eastAsia"/>
          <w:color w:val="000000"/>
          <w:kern w:val="0"/>
          <w:szCs w:val="21"/>
          <w:lang w:val="en-US" w:eastAsia="zh-CN" w:bidi="en-US"/>
        </w:rPr>
        <w:t>校准溶液</w:t>
      </w:r>
      <w:r>
        <w:rPr>
          <w:color w:val="000000"/>
          <w:kern w:val="0"/>
          <w:szCs w:val="21"/>
          <w:lang w:bidi="en-US"/>
        </w:rPr>
        <w:t>。如果重新</w:t>
      </w:r>
      <w:r>
        <w:rPr>
          <w:rFonts w:hint="eastAsia"/>
          <w:color w:val="000000"/>
          <w:kern w:val="0"/>
          <w:szCs w:val="21"/>
          <w:lang w:val="en-US" w:eastAsia="zh-CN" w:bidi="en-US"/>
        </w:rPr>
        <w:t>分析</w:t>
      </w:r>
      <w:r>
        <w:rPr>
          <w:color w:val="000000"/>
          <w:kern w:val="0"/>
          <w:szCs w:val="21"/>
          <w:lang w:bidi="en-US"/>
        </w:rPr>
        <w:t>后回收率仍超出范围，则</w:t>
      </w:r>
      <w:r>
        <w:rPr>
          <w:rFonts w:hint="eastAsia"/>
          <w:color w:val="000000"/>
          <w:kern w:val="0"/>
          <w:szCs w:val="21"/>
          <w:lang w:val="en-US" w:eastAsia="zh-CN" w:bidi="en-US"/>
        </w:rPr>
        <w:t>应</w:t>
      </w:r>
      <w:r>
        <w:rPr>
          <w:color w:val="000000"/>
          <w:kern w:val="0"/>
          <w:szCs w:val="21"/>
          <w:lang w:bidi="en-US"/>
        </w:rPr>
        <w:t>停止</w:t>
      </w:r>
      <w:r>
        <w:rPr>
          <w:rFonts w:hint="eastAsia"/>
          <w:color w:val="000000"/>
          <w:kern w:val="0"/>
          <w:szCs w:val="21"/>
          <w:lang w:val="en-US" w:eastAsia="zh-CN" w:bidi="en-US"/>
        </w:rPr>
        <w:t>进样</w:t>
      </w:r>
      <w:r>
        <w:rPr>
          <w:color w:val="000000"/>
          <w:kern w:val="0"/>
          <w:szCs w:val="21"/>
          <w:lang w:bidi="en-US"/>
        </w:rPr>
        <w:t>，</w:t>
      </w:r>
      <w:r>
        <w:rPr>
          <w:rFonts w:hint="eastAsia"/>
          <w:color w:val="000000"/>
          <w:kern w:val="0"/>
          <w:szCs w:val="21"/>
          <w:lang w:val="en-US" w:eastAsia="zh-CN" w:bidi="en-US"/>
        </w:rPr>
        <w:t>并进行系统</w:t>
      </w:r>
      <w:r>
        <w:rPr>
          <w:color w:val="000000"/>
          <w:kern w:val="0"/>
          <w:szCs w:val="21"/>
          <w:lang w:bidi="en-US"/>
        </w:rPr>
        <w:t>维护</w:t>
      </w:r>
      <w:r>
        <w:rPr>
          <w:rFonts w:hint="eastAsia"/>
          <w:color w:val="000000"/>
          <w:kern w:val="0"/>
          <w:szCs w:val="21"/>
          <w:lang w:eastAsia="zh-CN" w:bidi="en-US"/>
        </w:rPr>
        <w:t>，</w:t>
      </w:r>
      <w:r>
        <w:rPr>
          <w:rFonts w:hint="eastAsia"/>
          <w:color w:val="000000"/>
          <w:kern w:val="0"/>
          <w:szCs w:val="21"/>
          <w:lang w:val="en-US" w:eastAsia="zh-CN" w:bidi="en-US"/>
        </w:rPr>
        <w:t>直至恢复正常分析状态</w:t>
      </w:r>
      <w:r>
        <w:rPr>
          <w:color w:val="000000"/>
          <w:kern w:val="0"/>
          <w:szCs w:val="21"/>
          <w:lang w:bidi="en-US"/>
        </w:rPr>
        <w:t>。</w:t>
      </w:r>
      <w:r>
        <w:rPr>
          <w:rFonts w:hint="eastAsia"/>
          <w:color w:val="000000"/>
          <w:kern w:val="0"/>
          <w:szCs w:val="21"/>
          <w:lang w:val="en-US" w:eastAsia="zh-CN" w:bidi="en-US"/>
        </w:rPr>
        <w:t>若</w:t>
      </w:r>
      <w:r>
        <w:rPr>
          <w:color w:val="000000"/>
          <w:kern w:val="0"/>
          <w:szCs w:val="21"/>
          <w:lang w:bidi="en-US"/>
        </w:rPr>
        <w:t>CCC</w:t>
      </w:r>
      <w:r>
        <w:rPr>
          <w:rFonts w:hint="eastAsia"/>
          <w:color w:val="000000"/>
          <w:kern w:val="0"/>
          <w:szCs w:val="21"/>
          <w:lang w:val="en-US" w:eastAsia="zh-CN" w:bidi="en-US"/>
        </w:rPr>
        <w:t>结果符合要求，在此之前分析的样品可以出具报告，若</w:t>
      </w:r>
      <w:r>
        <w:rPr>
          <w:color w:val="000000"/>
          <w:kern w:val="0"/>
          <w:szCs w:val="21"/>
          <w:lang w:bidi="en-US"/>
        </w:rPr>
        <w:t>CCC</w:t>
      </w:r>
      <w:r>
        <w:rPr>
          <w:rFonts w:hint="eastAsia"/>
          <w:color w:val="000000"/>
          <w:kern w:val="0"/>
          <w:szCs w:val="21"/>
          <w:lang w:val="en-US" w:eastAsia="zh-CN" w:bidi="en-US"/>
        </w:rPr>
        <w:t>结果不符合要求，在此之前分析的样品</w:t>
      </w:r>
      <w:r>
        <w:rPr>
          <w:color w:val="000000"/>
          <w:kern w:val="0"/>
          <w:szCs w:val="21"/>
          <w:lang w:bidi="en-US"/>
        </w:rPr>
        <w:t>应</w:t>
      </w:r>
      <w:r>
        <w:rPr>
          <w:rFonts w:hint="eastAsia"/>
          <w:color w:val="000000"/>
          <w:kern w:val="0"/>
          <w:szCs w:val="21"/>
          <w:lang w:val="en-US" w:eastAsia="zh-CN" w:bidi="en-US"/>
        </w:rPr>
        <w:t>按</w:t>
      </w:r>
      <w:r>
        <w:rPr>
          <w:color w:val="000000"/>
          <w:kern w:val="0"/>
          <w:szCs w:val="21"/>
          <w:lang w:bidi="en-US"/>
        </w:rPr>
        <w:t>重新</w:t>
      </w:r>
      <w:r>
        <w:rPr>
          <w:rFonts w:hint="eastAsia"/>
          <w:color w:val="000000"/>
          <w:kern w:val="0"/>
          <w:szCs w:val="21"/>
          <w:lang w:val="en-US" w:eastAsia="zh-CN" w:bidi="en-US"/>
        </w:rPr>
        <w:t>制作的校准曲线进行</w:t>
      </w:r>
      <w:r>
        <w:rPr>
          <w:color w:val="000000"/>
          <w:kern w:val="0"/>
          <w:szCs w:val="21"/>
          <w:lang w:bidi="en-US"/>
        </w:rPr>
        <w:t>分析。</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应监测每个样品的</w:t>
      </w:r>
      <w:r>
        <w:rPr>
          <w:rFonts w:hint="eastAsia"/>
          <w:color w:val="000000"/>
          <w:kern w:val="0"/>
          <w:szCs w:val="21"/>
          <w:lang w:val="en-US" w:eastAsia="zh-CN" w:bidi="en-US"/>
        </w:rPr>
        <w:t>标记</w:t>
      </w:r>
      <w:r>
        <w:rPr>
          <w:color w:val="000000"/>
          <w:kern w:val="0"/>
          <w:szCs w:val="21"/>
          <w:lang w:bidi="en-US"/>
        </w:rPr>
        <w:t>物回收</w:t>
      </w:r>
      <w:r>
        <w:rPr>
          <w:rFonts w:hint="eastAsia"/>
          <w:color w:val="000000"/>
          <w:kern w:val="0"/>
          <w:szCs w:val="21"/>
          <w:lang w:val="en-US" w:eastAsia="zh-CN" w:bidi="en-US"/>
        </w:rPr>
        <w:t>率</w:t>
      </w:r>
      <w:r>
        <w:rPr>
          <w:color w:val="000000"/>
          <w:kern w:val="0"/>
          <w:szCs w:val="21"/>
          <w:lang w:bidi="en-US"/>
        </w:rPr>
        <w:t>。</w:t>
      </w:r>
      <w:r>
        <w:rPr>
          <w:rFonts w:hint="eastAsia"/>
          <w:color w:val="000000"/>
          <w:kern w:val="0"/>
          <w:szCs w:val="21"/>
          <w:lang w:val="en-US" w:eastAsia="zh-CN" w:bidi="en-US"/>
        </w:rPr>
        <w:t>标记</w:t>
      </w:r>
      <w:r>
        <w:rPr>
          <w:color w:val="000000"/>
          <w:kern w:val="0"/>
          <w:szCs w:val="21"/>
          <w:lang w:bidi="en-US"/>
        </w:rPr>
        <w:t>物回收率（%）</w:t>
      </w:r>
      <w:r>
        <w:rPr>
          <w:rFonts w:hint="eastAsia"/>
          <w:color w:val="000000"/>
          <w:kern w:val="0"/>
          <w:szCs w:val="21"/>
          <w:lang w:val="en-US" w:eastAsia="zh-CN" w:bidi="en-US"/>
        </w:rPr>
        <w:t>可通过</w:t>
      </w:r>
      <w:r>
        <w:rPr>
          <w:rFonts w:hint="eastAsia"/>
          <w:color w:val="000000"/>
          <w:kern w:val="0"/>
          <w:szCs w:val="21"/>
          <w:lang w:eastAsia="zh-CN" w:bidi="en-US"/>
        </w:rPr>
        <w:t>公式</w:t>
      </w:r>
      <w:r>
        <w:rPr>
          <w:color w:val="000000"/>
          <w:kern w:val="0"/>
          <w:szCs w:val="21"/>
          <w:lang w:bidi="en-US"/>
        </w:rPr>
        <w:t>（8）计算：</w:t>
      </w:r>
    </w:p>
    <w:p>
      <w:pPr>
        <w:tabs>
          <w:tab w:val="left" w:pos="4678"/>
        </w:tabs>
        <w:adjustRightInd w:val="0"/>
        <w:snapToGrid w:val="0"/>
        <w:spacing w:before="156" w:beforeLines="50" w:after="156" w:afterLines="50"/>
        <w:jc w:val="center"/>
        <w:rPr>
          <w:color w:val="000000"/>
          <w:kern w:val="0"/>
          <w:szCs w:val="21"/>
          <w:lang w:bidi="en-US"/>
        </w:rPr>
      </w:pPr>
      <w:r>
        <w:rPr>
          <w:rFonts w:hint="eastAsia" w:ascii="Cambria Math" w:hAnsi="Cambria Math"/>
          <w:i/>
          <w:color w:val="000000"/>
          <w:kern w:val="0"/>
          <w:szCs w:val="21"/>
          <w:lang w:val="en-US" w:eastAsia="zh-CN" w:bidi="en-US"/>
        </w:rPr>
        <w:t xml:space="preserve">                                        </w:t>
      </w:r>
      <w:r>
        <w:rPr>
          <w:rFonts w:ascii="Cambria Math" w:hAnsi="Cambria Math"/>
          <w:i/>
          <w:color w:val="000000"/>
          <w:kern w:val="0"/>
          <w:position w:val="-32"/>
          <w:szCs w:val="21"/>
          <w:lang w:bidi="en-US"/>
        </w:rPr>
        <w:object>
          <v:shape id="_x0000_i1032" o:spt="75" type="#_x0000_t75" style="height:35pt;width:75pt;" o:ole="t" filled="f" o:preferrelative="t" stroked="f" coordsize="21600,21600">
            <v:path/>
            <v:fill on="f" focussize="0,0"/>
            <v:stroke on="f"/>
            <v:imagedata r:id="rId30" o:title=""/>
            <o:lock v:ext="edit" aspectratio="t"/>
            <w10:wrap type="none"/>
            <w10:anchorlock/>
          </v:shape>
          <o:OLEObject Type="Embed" ProgID="Equation.KSEE3" ShapeID="_x0000_i1032" DrawAspect="Content" ObjectID="_1468075732" r:id="rId29">
            <o:LockedField>false</o:LockedField>
          </o:OLEObject>
        </w:object>
      </w:r>
      <w:r>
        <w:rPr>
          <w:rFonts w:hint="eastAsia" w:ascii="Cambria Math" w:hAnsi="Cambria Math"/>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color w:val="000000"/>
          <w:kern w:val="0"/>
          <w:szCs w:val="21"/>
          <w:lang w:bidi="en-US"/>
        </w:rPr>
        <w:t>8</w:t>
      </w:r>
      <w:r>
        <w:rPr>
          <w:rStyle w:val="178"/>
          <w:rFonts w:hint="eastAsia" w:ascii="Times New Roman" w:hAnsi="Times New Roman" w:eastAsia="宋体" w:cs="Times New Roman"/>
          <w:color w:val="000000"/>
          <w:sz w:val="21"/>
          <w:szCs w:val="21"/>
          <w:highlight w:val="none"/>
          <w:lang w:val="en-US" w:eastAsia="zh-CN"/>
        </w:rPr>
        <w:t>）</w:t>
      </w:r>
    </w:p>
    <w:p>
      <w:pPr>
        <w:ind w:firstLine="420" w:firstLineChars="200"/>
        <w:rPr>
          <w:kern w:val="0"/>
          <w:szCs w:val="21"/>
        </w:rPr>
      </w:pPr>
      <w:r>
        <w:rPr>
          <w:rFonts w:hint="eastAsia"/>
          <w:kern w:val="0"/>
          <w:szCs w:val="21"/>
          <w:lang w:val="en-US" w:eastAsia="zh-CN"/>
        </w:rPr>
        <w:t xml:space="preserve">    </w:t>
      </w:r>
      <w:r>
        <w:rPr>
          <w:kern w:val="0"/>
          <w:szCs w:val="21"/>
        </w:rPr>
        <w:t>式中：</w:t>
      </w:r>
    </w:p>
    <w:p>
      <w:pPr>
        <w:ind w:firstLine="420" w:firstLineChars="200"/>
        <w:rPr>
          <w:iCs/>
          <w:kern w:val="0"/>
          <w:szCs w:val="21"/>
        </w:rPr>
      </w:pPr>
      <w:r>
        <w:rPr>
          <w:rFonts w:hint="eastAsia"/>
          <w:i/>
          <w:iCs/>
          <w:kern w:val="0"/>
          <w:szCs w:val="21"/>
          <w:lang w:val="en-US" w:eastAsia="zh-CN"/>
        </w:rPr>
        <w:t xml:space="preserve">    </w:t>
      </w:r>
      <w:r>
        <w:rPr>
          <w:i/>
          <w:iCs/>
          <w:kern w:val="0"/>
          <w:szCs w:val="21"/>
        </w:rPr>
        <w:t>SR</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rFonts w:hint="eastAsia" w:eastAsiaTheme="minorEastAsia"/>
          <w:iCs/>
          <w:kern w:val="0"/>
          <w:szCs w:val="21"/>
          <w:lang w:eastAsia="zh-CN"/>
        </w:rPr>
        <w:t>标记物</w:t>
      </w:r>
      <w:r>
        <w:rPr>
          <w:kern w:val="0"/>
          <w:szCs w:val="21"/>
        </w:rPr>
        <w:t>回收率</w:t>
      </w:r>
      <w:r>
        <w:rPr>
          <w:iCs/>
          <w:kern w:val="0"/>
          <w:szCs w:val="21"/>
        </w:rPr>
        <w:t>，以百分比（%）表示；</w:t>
      </w:r>
    </w:p>
    <w:p>
      <w:pPr>
        <w:ind w:firstLine="420" w:firstLineChars="200"/>
        <w:rPr>
          <w:kern w:val="0"/>
          <w:szCs w:val="21"/>
        </w:rPr>
      </w:pPr>
      <w:r>
        <w:rPr>
          <w:rFonts w:hint="eastAsia"/>
          <w:i/>
          <w:iCs/>
          <w:kern w:val="0"/>
          <w:szCs w:val="21"/>
          <w:lang w:val="en-US" w:eastAsia="zh-CN"/>
        </w:rPr>
        <w:t xml:space="preserve">    Ms </w:t>
      </w:r>
      <w:r>
        <w:rPr>
          <w:rStyle w:val="207"/>
          <w:rFonts w:ascii="Times New Roman" w:hAnsi="Times New Roman" w:cs="Times New Roman" w:eastAsiaTheme="minorEastAsia"/>
          <w:color w:val="000000"/>
          <w:sz w:val="18"/>
          <w:szCs w:val="18"/>
        </w:rPr>
        <w:t>——</w:t>
      </w:r>
      <w:r>
        <w:rPr>
          <w:kern w:val="0"/>
          <w:szCs w:val="21"/>
        </w:rPr>
        <w:t>在最终样品溶液中测得的</w:t>
      </w:r>
      <w:r>
        <w:rPr>
          <w:rFonts w:hint="eastAsia"/>
          <w:kern w:val="0"/>
          <w:szCs w:val="21"/>
          <w:lang w:eastAsia="zh-CN"/>
        </w:rPr>
        <w:t>标记物</w:t>
      </w:r>
      <w:r>
        <w:rPr>
          <w:kern w:val="0"/>
          <w:szCs w:val="21"/>
        </w:rPr>
        <w:t>总质量</w:t>
      </w:r>
      <w:r>
        <w:rPr>
          <w:iCs/>
          <w:kern w:val="0"/>
          <w:szCs w:val="21"/>
        </w:rPr>
        <w:t>，</w:t>
      </w:r>
      <w:r>
        <w:rPr>
          <w:rFonts w:hint="eastAsia"/>
          <w:kern w:val="0"/>
          <w:szCs w:val="21"/>
          <w:lang w:val="en-US" w:eastAsia="zh-CN"/>
        </w:rPr>
        <w:t>单位为微克</w:t>
      </w:r>
      <w:r>
        <w:rPr>
          <w:kern w:val="0"/>
          <w:szCs w:val="21"/>
        </w:rPr>
        <w:t>（μg）。</w:t>
      </w:r>
    </w:p>
    <w:p>
      <w:pPr>
        <w:ind w:firstLine="420" w:firstLineChars="200"/>
        <w:rPr>
          <w:rFonts w:hint="eastAsia"/>
          <w:kern w:val="0"/>
          <w:szCs w:val="21"/>
          <w:lang w:val="en-US" w:eastAsia="zh-CN"/>
        </w:rPr>
      </w:pPr>
      <w:r>
        <w:rPr>
          <w:rFonts w:hint="eastAsia"/>
          <w:kern w:val="0"/>
          <w:szCs w:val="21"/>
          <w:highlight w:val="none"/>
          <w:lang w:val="en-US" w:eastAsia="zh-CN"/>
        </w:rPr>
        <w:t xml:space="preserve">    </w:t>
      </w:r>
      <w:r>
        <w:rPr>
          <w:kern w:val="0"/>
          <w:szCs w:val="21"/>
          <w:highlight w:val="none"/>
        </w:rPr>
        <w:t>回收率的可接受范围应在70％</w:t>
      </w:r>
      <w:r>
        <w:rPr>
          <w:rFonts w:hint="eastAsia"/>
          <w:kern w:val="0"/>
          <w:szCs w:val="21"/>
          <w:highlight w:val="none"/>
          <w:lang w:val="en-US" w:eastAsia="zh-CN"/>
        </w:rPr>
        <w:t>至</w:t>
      </w:r>
      <w:r>
        <w:rPr>
          <w:kern w:val="0"/>
          <w:szCs w:val="21"/>
          <w:highlight w:val="none"/>
        </w:rPr>
        <w:t>130％之间。</w:t>
      </w:r>
      <w:r>
        <w:rPr>
          <w:kern w:val="0"/>
          <w:szCs w:val="21"/>
        </w:rPr>
        <w:t>如果样品的回收率超出</w:t>
      </w:r>
      <w:r>
        <w:rPr>
          <w:rFonts w:hint="eastAsia"/>
          <w:kern w:val="0"/>
          <w:szCs w:val="21"/>
          <w:lang w:val="en-US" w:eastAsia="zh-CN"/>
        </w:rPr>
        <w:t>此</w:t>
      </w:r>
      <w:r>
        <w:rPr>
          <w:kern w:val="0"/>
          <w:szCs w:val="21"/>
        </w:rPr>
        <w:t>限值范围，应重新</w:t>
      </w:r>
      <w:r>
        <w:rPr>
          <w:rFonts w:hint="eastAsia"/>
          <w:kern w:val="0"/>
          <w:szCs w:val="21"/>
          <w:lang w:val="en-US" w:eastAsia="zh-CN"/>
        </w:rPr>
        <w:t>进样</w:t>
      </w:r>
    </w:p>
    <w:p>
      <w:pPr>
        <w:ind w:firstLine="420" w:firstLineChars="200"/>
        <w:rPr>
          <w:kern w:val="0"/>
          <w:szCs w:val="21"/>
        </w:rPr>
      </w:pPr>
      <w:r>
        <w:rPr>
          <w:rFonts w:hint="eastAsia"/>
          <w:kern w:val="0"/>
          <w:szCs w:val="21"/>
          <w:lang w:val="en-US" w:eastAsia="zh-CN"/>
        </w:rPr>
        <w:t xml:space="preserve">    </w:t>
      </w:r>
      <w:r>
        <w:rPr>
          <w:kern w:val="0"/>
          <w:szCs w:val="21"/>
        </w:rPr>
        <w:t>分析。如果在重新分析后回收率</w:t>
      </w:r>
      <w:r>
        <w:rPr>
          <w:rFonts w:hint="eastAsia"/>
          <w:kern w:val="0"/>
          <w:szCs w:val="21"/>
          <w:lang w:val="en-US" w:eastAsia="zh-CN"/>
        </w:rPr>
        <w:t>仍超出</w:t>
      </w:r>
      <w:r>
        <w:rPr>
          <w:kern w:val="0"/>
          <w:szCs w:val="21"/>
        </w:rPr>
        <w:t>范围，则样品应重新提取并分析。</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根据五个校准</w:t>
      </w:r>
      <w:r>
        <w:rPr>
          <w:rFonts w:hint="eastAsia"/>
          <w:color w:val="000000"/>
          <w:kern w:val="0"/>
          <w:szCs w:val="21"/>
          <w:lang w:val="en-US" w:eastAsia="zh-CN" w:bidi="en-US"/>
        </w:rPr>
        <w:t>点</w:t>
      </w:r>
      <w:r>
        <w:rPr>
          <w:color w:val="000000"/>
          <w:kern w:val="0"/>
          <w:szCs w:val="21"/>
          <w:lang w:bidi="en-US"/>
        </w:rPr>
        <w:t>的结果（</w:t>
      </w:r>
      <w:r>
        <w:rPr>
          <w:rFonts w:hint="eastAsia"/>
          <w:color w:val="000000"/>
          <w:kern w:val="0"/>
          <w:szCs w:val="21"/>
          <w:lang w:val="en-US" w:eastAsia="zh-CN" w:bidi="en-US"/>
        </w:rPr>
        <w:t>根</w:t>
      </w:r>
      <w:r>
        <w:rPr>
          <w:color w:val="000000"/>
          <w:kern w:val="0"/>
          <w:szCs w:val="21"/>
          <w:lang w:bidi="en-US"/>
        </w:rPr>
        <w:t>据表4）</w:t>
      </w:r>
      <w:r>
        <w:rPr>
          <w:rFonts w:hint="eastAsia"/>
          <w:color w:val="000000"/>
          <w:kern w:val="0"/>
          <w:szCs w:val="21"/>
          <w:lang w:val="en-US" w:eastAsia="zh-CN" w:bidi="en-US"/>
        </w:rPr>
        <w:t>来</w:t>
      </w:r>
      <w:r>
        <w:rPr>
          <w:color w:val="000000"/>
          <w:kern w:val="0"/>
          <w:szCs w:val="21"/>
          <w:lang w:bidi="en-US"/>
        </w:rPr>
        <w:t>计算内标物的平均响应</w:t>
      </w:r>
      <w:r>
        <w:rPr>
          <w:rFonts w:hint="eastAsia"/>
          <w:color w:val="000000"/>
          <w:kern w:val="0"/>
          <w:szCs w:val="21"/>
          <w:lang w:val="en-US" w:eastAsia="zh-CN" w:bidi="en-US"/>
        </w:rPr>
        <w:t>值</w:t>
      </w:r>
      <w:r>
        <w:rPr>
          <w:color w:val="000000"/>
          <w:kern w:val="0"/>
          <w:szCs w:val="21"/>
          <w:lang w:bidi="en-US"/>
        </w:rPr>
        <w:t>（峰面积）。</w:t>
      </w:r>
      <w:r>
        <w:rPr>
          <w:rFonts w:hint="eastAsia"/>
          <w:color w:val="000000"/>
          <w:kern w:val="0"/>
          <w:szCs w:val="21"/>
          <w:lang w:val="en-US" w:eastAsia="zh-CN" w:bidi="en-US"/>
        </w:rPr>
        <w:t>整个分析过程中</w:t>
      </w:r>
      <w:r>
        <w:rPr>
          <w:color w:val="000000"/>
          <w:kern w:val="0"/>
          <w:szCs w:val="21"/>
          <w:lang w:bidi="en-US"/>
        </w:rPr>
        <w:t>应监测每个样品的内</w:t>
      </w:r>
      <w:r>
        <w:rPr>
          <w:rFonts w:hint="eastAsia"/>
          <w:color w:val="000000"/>
          <w:kern w:val="0"/>
          <w:szCs w:val="21"/>
          <w:lang w:val="en-US" w:eastAsia="zh-CN" w:bidi="en-US"/>
        </w:rPr>
        <w:t>标</w:t>
      </w:r>
      <w:r>
        <w:rPr>
          <w:color w:val="000000"/>
          <w:kern w:val="0"/>
          <w:szCs w:val="21"/>
          <w:lang w:bidi="en-US"/>
        </w:rPr>
        <w:t>（IS）</w:t>
      </w:r>
      <w:r>
        <w:rPr>
          <w:rFonts w:hint="eastAsia"/>
          <w:color w:val="000000"/>
          <w:kern w:val="0"/>
          <w:szCs w:val="21"/>
          <w:lang w:val="en-US" w:eastAsia="zh-CN" w:bidi="en-US"/>
        </w:rPr>
        <w:t>的</w:t>
      </w:r>
      <w:r>
        <w:rPr>
          <w:color w:val="000000"/>
          <w:kern w:val="0"/>
          <w:szCs w:val="21"/>
          <w:lang w:bidi="en-US"/>
        </w:rPr>
        <w:t>响应</w:t>
      </w:r>
      <w:r>
        <w:rPr>
          <w:rFonts w:hint="eastAsia"/>
          <w:color w:val="000000"/>
          <w:kern w:val="0"/>
          <w:szCs w:val="21"/>
          <w:lang w:val="en-US" w:eastAsia="zh-CN" w:bidi="en-US"/>
        </w:rPr>
        <w:t>值</w:t>
      </w:r>
      <w:r>
        <w:rPr>
          <w:color w:val="000000"/>
          <w:kern w:val="0"/>
          <w:szCs w:val="21"/>
          <w:lang w:bidi="en-US"/>
        </w:rPr>
        <w:t>，并与平均值进行比较。如果</w:t>
      </w:r>
      <w:r>
        <w:rPr>
          <w:rFonts w:hint="eastAsia"/>
          <w:color w:val="000000"/>
          <w:kern w:val="0"/>
          <w:szCs w:val="21"/>
          <w:lang w:val="en-US" w:eastAsia="zh-CN" w:bidi="en-US"/>
        </w:rPr>
        <w:t>相对偏差低于</w:t>
      </w:r>
      <w:r>
        <w:rPr>
          <w:color w:val="000000"/>
          <w:kern w:val="0"/>
          <w:szCs w:val="21"/>
          <w:lang w:bidi="en-US"/>
        </w:rPr>
        <w:t>50%或</w:t>
      </w:r>
      <w:r>
        <w:rPr>
          <w:rFonts w:hint="eastAsia"/>
          <w:color w:val="000000"/>
          <w:kern w:val="0"/>
          <w:szCs w:val="21"/>
          <w:lang w:val="en-US" w:eastAsia="zh-CN" w:bidi="en-US"/>
        </w:rPr>
        <w:t>高于</w:t>
      </w:r>
      <w:r>
        <w:rPr>
          <w:color w:val="000000"/>
          <w:kern w:val="0"/>
          <w:szCs w:val="21"/>
          <w:lang w:bidi="en-US"/>
        </w:rPr>
        <w:t>150%，则认为样品</w:t>
      </w:r>
      <w:r>
        <w:rPr>
          <w:rFonts w:hint="eastAsia"/>
          <w:color w:val="000000"/>
          <w:kern w:val="0"/>
          <w:szCs w:val="21"/>
          <w:lang w:val="en-US" w:eastAsia="zh-CN" w:bidi="en-US"/>
        </w:rPr>
        <w:t>结果不在质量控制范围内</w:t>
      </w:r>
      <w:r>
        <w:rPr>
          <w:color w:val="000000"/>
          <w:kern w:val="0"/>
          <w:szCs w:val="21"/>
          <w:lang w:bidi="en-US"/>
        </w:rPr>
        <w:t>，应重新</w:t>
      </w:r>
      <w:r>
        <w:rPr>
          <w:rFonts w:hint="eastAsia"/>
          <w:color w:val="000000"/>
          <w:kern w:val="0"/>
          <w:szCs w:val="21"/>
          <w:lang w:val="en-US" w:eastAsia="zh-CN" w:bidi="en-US"/>
        </w:rPr>
        <w:t>进行</w:t>
      </w:r>
      <w:r>
        <w:rPr>
          <w:color w:val="000000"/>
          <w:kern w:val="0"/>
          <w:szCs w:val="21"/>
          <w:lang w:bidi="en-US"/>
        </w:rPr>
        <w:t>分析。如果</w:t>
      </w:r>
      <w:r>
        <w:rPr>
          <w:rFonts w:hint="eastAsia"/>
          <w:color w:val="000000"/>
          <w:kern w:val="0"/>
          <w:szCs w:val="21"/>
          <w:lang w:val="en-US" w:eastAsia="zh-CN" w:bidi="en-US"/>
        </w:rPr>
        <w:t>内标</w:t>
      </w:r>
      <w:r>
        <w:rPr>
          <w:color w:val="000000"/>
          <w:kern w:val="0"/>
          <w:szCs w:val="21"/>
          <w:lang w:bidi="en-US"/>
        </w:rPr>
        <w:t>响应</w:t>
      </w:r>
      <w:r>
        <w:rPr>
          <w:rFonts w:hint="eastAsia"/>
          <w:color w:val="000000"/>
          <w:kern w:val="0"/>
          <w:szCs w:val="21"/>
          <w:lang w:val="en-US" w:eastAsia="zh-CN" w:bidi="en-US"/>
        </w:rPr>
        <w:t>值</w:t>
      </w:r>
      <w:r>
        <w:rPr>
          <w:color w:val="000000"/>
          <w:kern w:val="0"/>
          <w:szCs w:val="21"/>
          <w:lang w:bidi="en-US"/>
        </w:rPr>
        <w:t>仍</w:t>
      </w:r>
      <w:r>
        <w:rPr>
          <w:rFonts w:hint="eastAsia"/>
          <w:color w:val="000000"/>
          <w:kern w:val="0"/>
          <w:szCs w:val="21"/>
          <w:lang w:val="en-US" w:eastAsia="zh-CN" w:bidi="en-US"/>
        </w:rPr>
        <w:t>超出</w:t>
      </w:r>
      <w:r>
        <w:rPr>
          <w:color w:val="000000"/>
          <w:kern w:val="0"/>
          <w:szCs w:val="21"/>
          <w:lang w:bidi="en-US"/>
        </w:rPr>
        <w:t>范围内，</w:t>
      </w:r>
      <w:r>
        <w:rPr>
          <w:rFonts w:hint="eastAsia"/>
          <w:color w:val="000000"/>
          <w:kern w:val="0"/>
          <w:szCs w:val="21"/>
          <w:lang w:val="en-US" w:eastAsia="zh-CN" w:bidi="en-US"/>
        </w:rPr>
        <w:t>应</w:t>
      </w:r>
      <w:r>
        <w:rPr>
          <w:color w:val="000000"/>
          <w:kern w:val="0"/>
          <w:szCs w:val="21"/>
          <w:lang w:bidi="en-US"/>
        </w:rPr>
        <w:t>检查</w:t>
      </w:r>
      <w:r>
        <w:rPr>
          <w:rFonts w:hint="eastAsia"/>
          <w:color w:val="000000"/>
          <w:kern w:val="0"/>
          <w:szCs w:val="21"/>
          <w:lang w:val="en-US" w:eastAsia="zh-CN" w:bidi="en-US"/>
        </w:rPr>
        <w:t>平行</w:t>
      </w:r>
      <w:r>
        <w:rPr>
          <w:color w:val="000000"/>
          <w:kern w:val="0"/>
          <w:szCs w:val="21"/>
          <w:lang w:bidi="en-US"/>
        </w:rPr>
        <w:t>提取</w:t>
      </w:r>
      <w:r>
        <w:rPr>
          <w:rFonts w:hint="eastAsia"/>
          <w:color w:val="000000"/>
          <w:kern w:val="0"/>
          <w:szCs w:val="21"/>
          <w:lang w:val="en-US" w:eastAsia="zh-CN" w:bidi="en-US"/>
        </w:rPr>
        <w:t>样</w:t>
      </w:r>
      <w:r>
        <w:rPr>
          <w:color w:val="000000"/>
          <w:kern w:val="0"/>
          <w:szCs w:val="21"/>
          <w:lang w:bidi="en-US"/>
        </w:rPr>
        <w:t>的结果。如果</w:t>
      </w:r>
      <w:r>
        <w:rPr>
          <w:rFonts w:hint="eastAsia"/>
          <w:color w:val="000000"/>
          <w:kern w:val="0"/>
          <w:szCs w:val="21"/>
          <w:lang w:val="en-US" w:eastAsia="zh-CN" w:bidi="en-US"/>
        </w:rPr>
        <w:t>平行样也</w:t>
      </w:r>
      <w:r>
        <w:rPr>
          <w:color w:val="000000"/>
          <w:kern w:val="0"/>
          <w:szCs w:val="21"/>
          <w:lang w:bidi="en-US"/>
        </w:rPr>
        <w:t>超出范围</w:t>
      </w:r>
      <w:r>
        <w:rPr>
          <w:rFonts w:hint="eastAsia"/>
          <w:color w:val="000000"/>
          <w:kern w:val="0"/>
          <w:szCs w:val="21"/>
          <w:lang w:val="en-US" w:eastAsia="zh-CN" w:bidi="en-US"/>
        </w:rPr>
        <w:t>并且偏离方向相同</w:t>
      </w:r>
      <w:r>
        <w:rPr>
          <w:color w:val="000000"/>
          <w:kern w:val="0"/>
          <w:szCs w:val="21"/>
          <w:lang w:bidi="en-US"/>
        </w:rPr>
        <w:t>，则报告</w:t>
      </w:r>
      <w:r>
        <w:rPr>
          <w:rFonts w:hint="eastAsia"/>
          <w:color w:val="000000"/>
          <w:kern w:val="0"/>
          <w:szCs w:val="21"/>
          <w:lang w:val="en-US" w:eastAsia="zh-CN" w:bidi="en-US"/>
        </w:rPr>
        <w:t>数据是受基体</w:t>
      </w:r>
      <w:r>
        <w:rPr>
          <w:color w:val="000000"/>
          <w:kern w:val="0"/>
          <w:szCs w:val="21"/>
          <w:lang w:bidi="en-US"/>
        </w:rPr>
        <w:t>效应</w:t>
      </w:r>
      <w:r>
        <w:rPr>
          <w:rFonts w:hint="eastAsia"/>
          <w:color w:val="000000"/>
          <w:kern w:val="0"/>
          <w:szCs w:val="21"/>
          <w:lang w:val="en-US" w:eastAsia="zh-CN" w:bidi="en-US"/>
        </w:rPr>
        <w:t>影响的可疑</w:t>
      </w:r>
      <w:r>
        <w:rPr>
          <w:color w:val="000000"/>
          <w:kern w:val="0"/>
          <w:szCs w:val="21"/>
          <w:lang w:bidi="en-US"/>
        </w:rPr>
        <w:t>数据。</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在每次</w:t>
      </w:r>
      <w:r>
        <w:rPr>
          <w:rFonts w:hint="eastAsia"/>
          <w:color w:val="000000"/>
          <w:kern w:val="0"/>
          <w:szCs w:val="21"/>
          <w:lang w:val="en-US" w:eastAsia="zh-CN" w:bidi="en-US"/>
        </w:rPr>
        <w:t>进样</w:t>
      </w:r>
      <w:r>
        <w:rPr>
          <w:rFonts w:hint="eastAsia"/>
          <w:color w:val="000000"/>
          <w:kern w:val="0"/>
          <w:szCs w:val="21"/>
          <w:highlight w:val="none"/>
          <w:lang w:val="en-US" w:eastAsia="zh-CN" w:bidi="en-US"/>
        </w:rPr>
        <w:t>之间宜</w:t>
      </w:r>
      <w:r>
        <w:rPr>
          <w:color w:val="000000"/>
          <w:kern w:val="0"/>
          <w:szCs w:val="21"/>
          <w:highlight w:val="none"/>
          <w:lang w:bidi="en-US"/>
        </w:rPr>
        <w:t>进</w:t>
      </w:r>
      <w:r>
        <w:rPr>
          <w:color w:val="000000"/>
          <w:kern w:val="0"/>
          <w:szCs w:val="21"/>
          <w:lang w:bidi="en-US"/>
        </w:rPr>
        <w:t>行</w:t>
      </w:r>
      <w:r>
        <w:rPr>
          <w:rFonts w:hint="eastAsia"/>
          <w:color w:val="000000"/>
          <w:kern w:val="0"/>
          <w:szCs w:val="21"/>
          <w:lang w:val="en-US" w:eastAsia="zh-CN" w:bidi="en-US"/>
        </w:rPr>
        <w:t>试</w:t>
      </w:r>
      <w:r>
        <w:rPr>
          <w:color w:val="000000"/>
          <w:kern w:val="0"/>
          <w:szCs w:val="21"/>
          <w:lang w:bidi="en-US"/>
        </w:rPr>
        <w:t>剂空白</w:t>
      </w:r>
      <w:r>
        <w:rPr>
          <w:rFonts w:hint="eastAsia"/>
          <w:color w:val="000000"/>
          <w:kern w:val="0"/>
          <w:szCs w:val="21"/>
          <w:lang w:val="en-US" w:eastAsia="zh-CN" w:bidi="en-US"/>
        </w:rPr>
        <w:t>测试</w:t>
      </w:r>
      <w:r>
        <w:rPr>
          <w:color w:val="000000"/>
          <w:kern w:val="0"/>
          <w:szCs w:val="21"/>
          <w:lang w:bidi="en-US"/>
        </w:rPr>
        <w:t>，</w:t>
      </w:r>
      <w:r>
        <w:rPr>
          <w:rFonts w:hint="eastAsia"/>
          <w:color w:val="000000"/>
          <w:kern w:val="0"/>
          <w:szCs w:val="21"/>
          <w:lang w:val="en-US" w:eastAsia="zh-CN" w:bidi="en-US"/>
        </w:rPr>
        <w:t>以消除</w:t>
      </w:r>
      <w:r>
        <w:rPr>
          <w:color w:val="000000"/>
          <w:kern w:val="0"/>
          <w:szCs w:val="21"/>
          <w:lang w:bidi="en-US"/>
        </w:rPr>
        <w:t>分析物</w:t>
      </w:r>
      <w:r>
        <w:rPr>
          <w:rFonts w:hint="eastAsia"/>
          <w:color w:val="000000"/>
          <w:kern w:val="0"/>
          <w:szCs w:val="21"/>
          <w:lang w:val="en-US" w:eastAsia="zh-CN" w:bidi="en-US"/>
        </w:rPr>
        <w:t>残留的影响</w:t>
      </w:r>
      <w:r>
        <w:rPr>
          <w:color w:val="000000"/>
          <w:kern w:val="0"/>
          <w:szCs w:val="21"/>
          <w:lang w:bidi="en-US"/>
        </w:rPr>
        <w:t>。</w:t>
      </w:r>
      <w:r>
        <w:rPr>
          <w:rFonts w:hint="eastAsia"/>
          <w:color w:val="000000"/>
          <w:kern w:val="0"/>
          <w:szCs w:val="21"/>
          <w:lang w:val="en-US" w:eastAsia="zh-CN" w:bidi="en-US"/>
        </w:rPr>
        <w:t>这一点在含有高浓度</w:t>
      </w:r>
      <w:r>
        <w:rPr>
          <w:color w:val="000000"/>
          <w:kern w:val="0"/>
          <w:szCs w:val="21"/>
          <w:lang w:bidi="en-US"/>
        </w:rPr>
        <w:t>HBCDD和/或潜在干扰溴化阻燃剂样品</w:t>
      </w:r>
      <w:r>
        <w:rPr>
          <w:rFonts w:hint="eastAsia"/>
          <w:color w:val="000000"/>
          <w:kern w:val="0"/>
          <w:szCs w:val="21"/>
          <w:lang w:val="en-US" w:eastAsia="zh-CN" w:bidi="en-US"/>
        </w:rPr>
        <w:t>分析</w:t>
      </w:r>
      <w:r>
        <w:rPr>
          <w:color w:val="000000"/>
          <w:kern w:val="0"/>
          <w:szCs w:val="21"/>
          <w:lang w:bidi="en-US"/>
        </w:rPr>
        <w:t>时尤为重要。</w:t>
      </w:r>
      <w:r>
        <w:rPr>
          <w:rFonts w:hint="eastAsia"/>
          <w:color w:val="000000"/>
          <w:kern w:val="0"/>
          <w:szCs w:val="21"/>
          <w:lang w:val="en-US" w:eastAsia="zh-CN" w:bidi="en-US"/>
        </w:rPr>
        <w:t>未发现</w:t>
      </w:r>
      <w:r>
        <w:rPr>
          <w:color w:val="000000"/>
          <w:kern w:val="0"/>
          <w:szCs w:val="21"/>
          <w:lang w:bidi="en-US"/>
        </w:rPr>
        <w:t>仪器</w:t>
      </w:r>
      <w:r>
        <w:rPr>
          <w:rFonts w:hint="eastAsia"/>
          <w:color w:val="000000"/>
          <w:kern w:val="0"/>
          <w:szCs w:val="21"/>
          <w:lang w:val="en-US" w:eastAsia="zh-CN" w:bidi="en-US"/>
        </w:rPr>
        <w:t>中含有</w:t>
      </w:r>
      <w:r>
        <w:rPr>
          <w:color w:val="000000"/>
          <w:kern w:val="0"/>
          <w:szCs w:val="21"/>
          <w:lang w:bidi="en-US"/>
        </w:rPr>
        <w:t>污染可能会导致</w:t>
      </w:r>
      <w:r>
        <w:rPr>
          <w:rFonts w:hint="eastAsia"/>
          <w:color w:val="000000"/>
          <w:kern w:val="0"/>
          <w:szCs w:val="21"/>
          <w:lang w:val="en-US" w:eastAsia="zh-CN" w:bidi="en-US"/>
        </w:rPr>
        <w:t>分析测试结果偏</w:t>
      </w:r>
      <w:r>
        <w:rPr>
          <w:color w:val="000000"/>
          <w:kern w:val="0"/>
          <w:szCs w:val="21"/>
          <w:lang w:bidi="en-US"/>
        </w:rPr>
        <w:t>高。建议在溶剂中</w:t>
      </w:r>
      <w:r>
        <w:rPr>
          <w:rFonts w:hint="eastAsia"/>
          <w:color w:val="000000"/>
          <w:kern w:val="0"/>
          <w:szCs w:val="21"/>
          <w:lang w:val="en-US" w:eastAsia="zh-CN" w:bidi="en-US"/>
        </w:rPr>
        <w:t>可加</w:t>
      </w:r>
      <w:r>
        <w:rPr>
          <w:color w:val="000000"/>
          <w:kern w:val="0"/>
          <w:szCs w:val="21"/>
          <w:lang w:bidi="en-US"/>
        </w:rPr>
        <w:t>入少量甲硅烷基化</w:t>
      </w:r>
      <w:r>
        <w:rPr>
          <w:rFonts w:hint="eastAsia"/>
          <w:color w:val="000000"/>
          <w:kern w:val="0"/>
          <w:szCs w:val="21"/>
          <w:lang w:val="en-US" w:eastAsia="zh-CN" w:bidi="en-US"/>
        </w:rPr>
        <w:t>试</w:t>
      </w:r>
      <w:r>
        <w:rPr>
          <w:color w:val="000000"/>
          <w:kern w:val="0"/>
          <w:szCs w:val="21"/>
          <w:lang w:bidi="en-US"/>
        </w:rPr>
        <w:t>剂（BSA，BSTFA）以保持</w:t>
      </w:r>
      <w:r>
        <w:rPr>
          <w:rFonts w:hint="eastAsia"/>
          <w:color w:val="000000"/>
          <w:kern w:val="0"/>
          <w:szCs w:val="21"/>
          <w:lang w:val="en-US" w:eastAsia="zh-CN" w:bidi="en-US"/>
        </w:rPr>
        <w:t>进样口</w:t>
      </w:r>
      <w:r>
        <w:rPr>
          <w:color w:val="000000"/>
          <w:kern w:val="0"/>
          <w:szCs w:val="21"/>
          <w:lang w:bidi="en-US"/>
        </w:rPr>
        <w:t>衬管的惰性。</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rFonts w:hint="eastAsia"/>
          <w:color w:val="000000"/>
          <w:kern w:val="0"/>
          <w:szCs w:val="21"/>
          <w:lang w:val="en-US" w:eastAsia="zh-CN" w:bidi="en-US"/>
        </w:rPr>
        <w:t>具</w:t>
      </w:r>
      <w:r>
        <w:rPr>
          <w:color w:val="000000"/>
          <w:kern w:val="0"/>
          <w:szCs w:val="21"/>
          <w:lang w:bidi="en-US"/>
        </w:rPr>
        <w:t>有</w:t>
      </w:r>
      <w:r>
        <w:rPr>
          <w:rFonts w:hint="eastAsia"/>
          <w:color w:val="000000"/>
          <w:kern w:val="0"/>
          <w:szCs w:val="21"/>
          <w:lang w:val="en-US" w:eastAsia="zh-CN" w:bidi="en-US"/>
        </w:rPr>
        <w:t>对应于</w:t>
      </w:r>
      <w:r>
        <w:rPr>
          <w:color w:val="000000"/>
          <w:kern w:val="0"/>
          <w:szCs w:val="21"/>
          <w:lang w:bidi="en-US"/>
        </w:rPr>
        <w:t>HBCDD</w:t>
      </w:r>
      <w:r>
        <w:rPr>
          <w:rFonts w:hint="eastAsia"/>
          <w:color w:val="000000"/>
          <w:kern w:val="0"/>
          <w:szCs w:val="21"/>
          <w:lang w:val="en-US" w:eastAsia="zh-CN" w:bidi="en-US"/>
        </w:rPr>
        <w:t>的特征质量数的分析物的</w:t>
      </w:r>
      <w:r>
        <w:rPr>
          <w:color w:val="000000"/>
          <w:kern w:val="0"/>
          <w:szCs w:val="21"/>
          <w:lang w:bidi="en-US"/>
        </w:rPr>
        <w:t>保留时间应</w:t>
      </w:r>
      <w:r>
        <w:rPr>
          <w:rFonts w:hint="eastAsia"/>
          <w:color w:val="000000"/>
          <w:kern w:val="0"/>
          <w:szCs w:val="21"/>
          <w:lang w:val="en-US" w:eastAsia="zh-CN" w:bidi="en-US"/>
        </w:rPr>
        <w:t>和</w:t>
      </w:r>
      <w:r>
        <w:rPr>
          <w:color w:val="000000"/>
          <w:kern w:val="0"/>
          <w:szCs w:val="21"/>
          <w:lang w:bidi="en-US"/>
        </w:rPr>
        <w:t>HBCDD校准溶液的</w:t>
      </w:r>
      <w:r>
        <w:rPr>
          <w:rFonts w:hint="eastAsia"/>
          <w:color w:val="000000"/>
          <w:kern w:val="0"/>
          <w:szCs w:val="21"/>
          <w:lang w:val="en-US" w:eastAsia="zh-CN" w:bidi="en-US"/>
        </w:rPr>
        <w:t>保持在</w:t>
      </w:r>
      <w:r>
        <w:rPr>
          <w:color w:val="000000"/>
          <w:kern w:val="0"/>
          <w:szCs w:val="21"/>
          <w:lang w:bidi="en-US"/>
        </w:rPr>
        <w:t>±20</w:t>
      </w:r>
      <w:r>
        <w:rPr>
          <w:rFonts w:hint="eastAsia"/>
          <w:color w:val="000000"/>
          <w:kern w:val="0"/>
          <w:szCs w:val="21"/>
          <w:lang w:val="en-US" w:eastAsia="zh-CN" w:bidi="en-US"/>
        </w:rPr>
        <w:t xml:space="preserve"> s</w:t>
      </w:r>
      <w:r>
        <w:rPr>
          <w:color w:val="000000"/>
          <w:kern w:val="0"/>
          <w:szCs w:val="21"/>
          <w:lang w:bidi="en-US"/>
        </w:rPr>
        <w:t>内。将保留时间</w:t>
      </w:r>
      <w:r>
        <w:rPr>
          <w:rFonts w:hint="eastAsia"/>
          <w:color w:val="000000"/>
          <w:kern w:val="0"/>
          <w:szCs w:val="21"/>
          <w:lang w:val="en-US" w:eastAsia="zh-CN" w:bidi="en-US"/>
        </w:rPr>
        <w:t>作为分析物定性依据是一种公认</w:t>
      </w:r>
      <w:r>
        <w:rPr>
          <w:color w:val="000000"/>
          <w:kern w:val="0"/>
          <w:szCs w:val="21"/>
          <w:lang w:bidi="en-US"/>
        </w:rPr>
        <w:t>的做法。</w:t>
      </w:r>
    </w:p>
    <w:p>
      <w:pPr>
        <w:pStyle w:val="47"/>
      </w:pPr>
      <w:bookmarkStart w:id="29" w:name="bookmark23"/>
      <w:r>
        <w:t>11.2 内部对照样品和空白样品</w:t>
      </w:r>
      <w:bookmarkEnd w:id="29"/>
    </w:p>
    <w:p>
      <w:pPr>
        <w:ind w:firstLine="420" w:firstLineChars="200"/>
        <w:rPr>
          <w:kern w:val="0"/>
          <w:szCs w:val="21"/>
        </w:rPr>
      </w:pPr>
      <w:r>
        <w:rPr>
          <w:kern w:val="0"/>
          <w:szCs w:val="21"/>
        </w:rPr>
        <w:t>经常重新校准，包括测定内部对照样品和空白值，以确保仪器的正常运行。</w:t>
      </w:r>
    </w:p>
    <w:p>
      <w:pPr>
        <w:ind w:firstLine="420" w:firstLineChars="200"/>
        <w:rPr>
          <w:kern w:val="0"/>
          <w:szCs w:val="21"/>
        </w:rPr>
      </w:pPr>
      <w:r>
        <w:rPr>
          <w:kern w:val="0"/>
          <w:szCs w:val="21"/>
        </w:rPr>
        <w:t>将液体标准溶液的有效期限制在6个月内，以此确保测定质量。</w:t>
      </w:r>
    </w:p>
    <w:p>
      <w:pPr>
        <w:ind w:firstLine="420" w:firstLineChars="200"/>
        <w:rPr>
          <w:kern w:val="0"/>
          <w:szCs w:val="21"/>
          <w:highlight w:val="none"/>
        </w:rPr>
      </w:pPr>
      <w:r>
        <w:rPr>
          <w:kern w:val="0"/>
          <w:szCs w:val="21"/>
        </w:rPr>
        <w:t>每个月需要完成全面重新校</w:t>
      </w:r>
      <w:r>
        <w:rPr>
          <w:kern w:val="0"/>
          <w:szCs w:val="21"/>
          <w:highlight w:val="none"/>
        </w:rPr>
        <w:t>准。</w:t>
      </w:r>
    </w:p>
    <w:p>
      <w:pPr>
        <w:ind w:firstLine="420" w:firstLineChars="200"/>
        <w:rPr>
          <w:kern w:val="0"/>
          <w:szCs w:val="21"/>
          <w:highlight w:val="none"/>
        </w:rPr>
      </w:pPr>
      <w:r>
        <w:rPr>
          <w:kern w:val="0"/>
          <w:szCs w:val="21"/>
          <w:highlight w:val="none"/>
        </w:rPr>
        <w:t>将独立质量对照标准品用作质量控制</w:t>
      </w:r>
      <w:r>
        <w:rPr>
          <w:rFonts w:hint="eastAsia"/>
          <w:kern w:val="0"/>
          <w:szCs w:val="21"/>
          <w:highlight w:val="none"/>
          <w:lang w:val="en-US" w:eastAsia="zh-CN"/>
        </w:rPr>
        <w:t>图</w:t>
      </w:r>
      <w:r>
        <w:rPr>
          <w:kern w:val="0"/>
          <w:szCs w:val="21"/>
          <w:highlight w:val="none"/>
        </w:rPr>
        <w:t>，用于保持HBCDD标准品的峰面积。独立验证标准品的可接受回收率为：定性样品为70％至130％，定量样品为90％至110％。</w:t>
      </w:r>
    </w:p>
    <w:p>
      <w:pPr>
        <w:pStyle w:val="47"/>
        <w:rPr>
          <w:rFonts w:hint="eastAsia" w:eastAsia="黑体"/>
          <w:highlight w:val="none"/>
          <w:lang w:eastAsia="zh-CN"/>
        </w:rPr>
      </w:pPr>
      <w:bookmarkStart w:id="30" w:name="bookmark24"/>
      <w:r>
        <w:rPr>
          <w:highlight w:val="none"/>
        </w:rPr>
        <w:t>11.3 方法检出限（MDL）和</w:t>
      </w:r>
      <w:bookmarkEnd w:id="30"/>
      <w:r>
        <w:rPr>
          <w:rFonts w:hint="eastAsia"/>
          <w:highlight w:val="none"/>
          <w:lang w:eastAsia="zh-CN"/>
        </w:rPr>
        <w:t>定量限</w:t>
      </w:r>
      <w:r>
        <w:rPr>
          <w:highlight w:val="none"/>
        </w:rPr>
        <w:t>（L</w:t>
      </w:r>
      <w:r>
        <w:rPr>
          <w:rFonts w:hint="eastAsia"/>
          <w:highlight w:val="none"/>
          <w:lang w:val="en-US" w:eastAsia="zh-CN"/>
        </w:rPr>
        <w:t>OD</w:t>
      </w:r>
      <w:r>
        <w:rPr>
          <w:highlight w:val="none"/>
        </w:rPr>
        <w:t>）</w:t>
      </w:r>
    </w:p>
    <w:p>
      <w:pPr>
        <w:ind w:firstLine="420" w:firstLineChars="200"/>
        <w:rPr>
          <w:rFonts w:hint="eastAsia" w:eastAsia="宋体"/>
          <w:kern w:val="0"/>
          <w:szCs w:val="21"/>
          <w:highlight w:val="none"/>
          <w:lang w:eastAsia="zh-CN"/>
        </w:rPr>
      </w:pPr>
      <w:r>
        <w:rPr>
          <w:rFonts w:hint="eastAsia"/>
          <w:kern w:val="0"/>
          <w:szCs w:val="21"/>
          <w:highlight w:val="none"/>
          <w:lang w:val="en-US" w:eastAsia="zh-CN"/>
        </w:rPr>
        <w:t>在进行测试</w:t>
      </w:r>
      <w:r>
        <w:rPr>
          <w:kern w:val="0"/>
          <w:szCs w:val="21"/>
          <w:highlight w:val="none"/>
        </w:rPr>
        <w:t>之前以及每次方法或仪器类型发生重大变化时，应</w:t>
      </w:r>
      <w:r>
        <w:rPr>
          <w:rFonts w:hint="eastAsia"/>
          <w:kern w:val="0"/>
          <w:szCs w:val="21"/>
          <w:highlight w:val="none"/>
          <w:lang w:val="en-US" w:eastAsia="zh-CN"/>
        </w:rPr>
        <w:t>对</w:t>
      </w:r>
      <w:r>
        <w:rPr>
          <w:kern w:val="0"/>
          <w:szCs w:val="21"/>
          <w:highlight w:val="none"/>
        </w:rPr>
        <w:t>方法检出限（MDL）</w:t>
      </w:r>
      <w:r>
        <w:rPr>
          <w:rFonts w:hint="eastAsia"/>
          <w:kern w:val="0"/>
          <w:szCs w:val="21"/>
          <w:highlight w:val="none"/>
          <w:lang w:val="en-US" w:eastAsia="zh-CN"/>
        </w:rPr>
        <w:t>进行确认</w:t>
      </w:r>
      <w:r>
        <w:rPr>
          <w:kern w:val="0"/>
          <w:szCs w:val="21"/>
          <w:highlight w:val="none"/>
        </w:rPr>
        <w:t>。LOD或MDL最</w:t>
      </w:r>
      <w:r>
        <w:rPr>
          <w:rFonts w:hint="eastAsia"/>
          <w:kern w:val="0"/>
          <w:szCs w:val="21"/>
          <w:highlight w:val="none"/>
          <w:lang w:val="en-US" w:eastAsia="zh-CN"/>
        </w:rPr>
        <w:t>好</w:t>
      </w:r>
      <w:r>
        <w:rPr>
          <w:kern w:val="0"/>
          <w:szCs w:val="21"/>
          <w:highlight w:val="none"/>
        </w:rPr>
        <w:t>通过在整个测试程序中（包括提取）对低水平或强化样品基质（例如塑料）进行</w:t>
      </w:r>
      <w:r>
        <w:rPr>
          <w:rFonts w:hint="eastAsia"/>
          <w:kern w:val="0"/>
          <w:szCs w:val="21"/>
          <w:highlight w:val="none"/>
          <w:lang w:val="en-US" w:eastAsia="zh-CN"/>
        </w:rPr>
        <w:t>重</w:t>
      </w:r>
      <w:r>
        <w:rPr>
          <w:kern w:val="0"/>
          <w:szCs w:val="21"/>
          <w:highlight w:val="none"/>
        </w:rPr>
        <w:t>复独立测量来确定。</w:t>
      </w:r>
      <w:r>
        <w:rPr>
          <w:rFonts w:hint="eastAsia"/>
          <w:kern w:val="0"/>
          <w:szCs w:val="21"/>
          <w:highlight w:val="none"/>
          <w:lang w:val="en-US" w:eastAsia="zh-CN"/>
        </w:rPr>
        <w:t>对于该</w:t>
      </w:r>
      <w:r>
        <w:rPr>
          <w:kern w:val="0"/>
          <w:szCs w:val="21"/>
          <w:highlight w:val="none"/>
        </w:rPr>
        <w:t>分析，至少</w:t>
      </w:r>
      <w:r>
        <w:rPr>
          <w:rFonts w:hint="eastAsia"/>
          <w:kern w:val="0"/>
          <w:szCs w:val="21"/>
          <w:highlight w:val="none"/>
          <w:lang w:val="en-US" w:eastAsia="zh-CN"/>
        </w:rPr>
        <w:t>6</w:t>
      </w:r>
      <w:r>
        <w:rPr>
          <w:kern w:val="0"/>
          <w:szCs w:val="21"/>
          <w:highlight w:val="none"/>
        </w:rPr>
        <w:t>次重复</w:t>
      </w:r>
      <w:r>
        <w:rPr>
          <w:rFonts w:hint="eastAsia"/>
          <w:kern w:val="0"/>
          <w:szCs w:val="21"/>
          <w:highlight w:val="none"/>
          <w:lang w:val="en-US" w:eastAsia="zh-CN"/>
        </w:rPr>
        <w:t>分析</w:t>
      </w:r>
      <w:r>
        <w:rPr>
          <w:kern w:val="0"/>
          <w:szCs w:val="21"/>
          <w:highlight w:val="none"/>
        </w:rPr>
        <w:t>，</w:t>
      </w:r>
      <w:r>
        <w:rPr>
          <w:rFonts w:hint="eastAsia"/>
          <w:kern w:val="0"/>
          <w:szCs w:val="21"/>
          <w:highlight w:val="none"/>
          <w:lang w:val="en-US" w:eastAsia="zh-CN"/>
        </w:rPr>
        <w:t>并且分析物浓度至少为预估计</w:t>
      </w:r>
      <w:r>
        <w:rPr>
          <w:rFonts w:hint="default"/>
          <w:kern w:val="0"/>
          <w:szCs w:val="21"/>
          <w:highlight w:val="none"/>
        </w:rPr>
        <w:t>LOD或MDL</w:t>
      </w:r>
      <w:r>
        <w:rPr>
          <w:rFonts w:hint="eastAsia"/>
          <w:kern w:val="0"/>
          <w:szCs w:val="21"/>
          <w:highlight w:val="none"/>
          <w:lang w:val="en-US" w:eastAsia="zh-CN"/>
        </w:rPr>
        <w:t>的3~5倍。一个完整测试的最终</w:t>
      </w:r>
      <w:r>
        <w:rPr>
          <w:rFonts w:hint="default"/>
          <w:kern w:val="0"/>
          <w:szCs w:val="21"/>
          <w:highlight w:val="none"/>
        </w:rPr>
        <w:t>LOD或MDL</w:t>
      </w:r>
      <w:r>
        <w:rPr>
          <w:rFonts w:hint="eastAsia"/>
          <w:kern w:val="0"/>
          <w:szCs w:val="21"/>
          <w:highlight w:val="none"/>
          <w:lang w:val="en-US" w:eastAsia="zh-CN"/>
        </w:rPr>
        <w:t>是通过重复测试样品的</w:t>
      </w:r>
      <w:r>
        <w:rPr>
          <w:rFonts w:hint="default"/>
          <w:kern w:val="0"/>
          <w:szCs w:val="21"/>
          <w:highlight w:val="none"/>
        </w:rPr>
        <w:t>标准偏差乘以适当</w:t>
      </w:r>
      <w:r>
        <w:rPr>
          <w:rFonts w:hint="eastAsia"/>
          <w:kern w:val="0"/>
          <w:szCs w:val="21"/>
          <w:highlight w:val="none"/>
          <w:lang w:val="en-US" w:eastAsia="zh-CN"/>
        </w:rPr>
        <w:t>的</w:t>
      </w:r>
      <w:r>
        <w:rPr>
          <w:rFonts w:hint="default"/>
          <w:kern w:val="0"/>
          <w:szCs w:val="21"/>
          <w:highlight w:val="none"/>
        </w:rPr>
        <w:t>因子</w:t>
      </w:r>
      <w:r>
        <w:rPr>
          <w:rFonts w:hint="eastAsia"/>
          <w:kern w:val="0"/>
          <w:szCs w:val="21"/>
          <w:highlight w:val="none"/>
          <w:lang w:val="en-US" w:eastAsia="zh-CN"/>
        </w:rPr>
        <w:t>进行</w:t>
      </w:r>
      <w:r>
        <w:rPr>
          <w:rFonts w:hint="default"/>
          <w:kern w:val="0"/>
          <w:szCs w:val="21"/>
          <w:highlight w:val="none"/>
        </w:rPr>
        <w:t>确定</w:t>
      </w:r>
      <w:r>
        <w:rPr>
          <w:rFonts w:hint="eastAsia"/>
          <w:kern w:val="0"/>
          <w:szCs w:val="21"/>
          <w:highlight w:val="none"/>
          <w:lang w:val="en-US" w:eastAsia="zh-CN"/>
        </w:rPr>
        <w:t>的</w:t>
      </w:r>
      <w:r>
        <w:rPr>
          <w:rFonts w:hint="default"/>
          <w:kern w:val="0"/>
          <w:szCs w:val="21"/>
          <w:highlight w:val="none"/>
        </w:rPr>
        <w:t>。国际纯粹与应用化学联合会（IUPAC）</w:t>
      </w:r>
      <w:r>
        <w:rPr>
          <w:rFonts w:hint="eastAsia"/>
          <w:kern w:val="0"/>
          <w:szCs w:val="21"/>
          <w:highlight w:val="none"/>
          <w:lang w:val="en-US" w:eastAsia="zh-CN"/>
        </w:rPr>
        <w:t>推荐最少6次重复因子为3，</w:t>
      </w:r>
      <w:r>
        <w:rPr>
          <w:rFonts w:hint="default"/>
          <w:kern w:val="0"/>
          <w:szCs w:val="21"/>
          <w:highlight w:val="none"/>
        </w:rPr>
        <w:t>而美国环境保护</w:t>
      </w:r>
      <w:r>
        <w:rPr>
          <w:rFonts w:hint="eastAsia"/>
          <w:kern w:val="0"/>
          <w:szCs w:val="21"/>
          <w:highlight w:val="none"/>
          <w:lang w:val="en-US" w:eastAsia="zh-CN"/>
        </w:rPr>
        <w:t>局</w:t>
      </w:r>
      <w:r>
        <w:rPr>
          <w:rFonts w:hint="default"/>
          <w:kern w:val="0"/>
          <w:szCs w:val="21"/>
          <w:highlight w:val="none"/>
        </w:rPr>
        <w:t>（EPA）使用单侧置信区间，</w:t>
      </w:r>
      <w:r>
        <w:rPr>
          <w:rFonts w:hint="eastAsia"/>
          <w:kern w:val="0"/>
          <w:szCs w:val="21"/>
          <w:highlight w:val="none"/>
          <w:lang w:val="en-US" w:eastAsia="zh-CN"/>
        </w:rPr>
        <w:t>因子为选择重复测试次数和置信水平下t分布值</w:t>
      </w:r>
      <w:r>
        <w:rPr>
          <w:rFonts w:hint="default"/>
          <w:kern w:val="0"/>
          <w:szCs w:val="21"/>
          <w:highlight w:val="none"/>
        </w:rPr>
        <w:t>（例如，t = 3.36</w:t>
      </w:r>
      <w:r>
        <w:rPr>
          <w:rFonts w:hint="eastAsia"/>
          <w:kern w:val="0"/>
          <w:szCs w:val="21"/>
          <w:highlight w:val="none"/>
          <w:lang w:eastAsia="zh-CN"/>
        </w:rPr>
        <w:t>，</w:t>
      </w:r>
      <w:r>
        <w:rPr>
          <w:rFonts w:hint="default"/>
          <w:kern w:val="0"/>
          <w:szCs w:val="21"/>
          <w:highlight w:val="none"/>
        </w:rPr>
        <w:t>6次重复</w:t>
      </w:r>
      <w:r>
        <w:rPr>
          <w:rFonts w:hint="eastAsia"/>
          <w:kern w:val="0"/>
          <w:szCs w:val="21"/>
          <w:highlight w:val="none"/>
          <w:lang w:eastAsia="zh-CN"/>
        </w:rPr>
        <w:t>，</w:t>
      </w:r>
      <w:r>
        <w:rPr>
          <w:rFonts w:hint="default"/>
          <w:kern w:val="0"/>
          <w:szCs w:val="21"/>
          <w:highlight w:val="none"/>
        </w:rPr>
        <w:t>99%置信度）</w:t>
      </w:r>
      <w:r>
        <w:rPr>
          <w:rFonts w:hint="eastAsia"/>
          <w:kern w:val="0"/>
          <w:szCs w:val="21"/>
          <w:highlight w:val="none"/>
          <w:lang w:eastAsia="zh-CN"/>
        </w:rPr>
        <w:t>：</w:t>
      </w:r>
    </w:p>
    <w:p>
      <w:pPr>
        <w:ind w:firstLine="360" w:firstLineChars="200"/>
        <w:rPr>
          <w:kern w:val="0"/>
          <w:sz w:val="18"/>
          <w:szCs w:val="18"/>
        </w:rPr>
      </w:pPr>
      <w:r>
        <w:rPr>
          <w:rFonts w:hint="eastAsia" w:ascii="黑体" w:hAnsi="黑体" w:eastAsia="黑体" w:cs="黑体"/>
          <w:kern w:val="0"/>
          <w:sz w:val="18"/>
          <w:szCs w:val="18"/>
        </w:rPr>
        <w:t>注1：</w:t>
      </w:r>
      <w:r>
        <w:rPr>
          <w:kern w:val="0"/>
          <w:sz w:val="18"/>
          <w:szCs w:val="18"/>
        </w:rPr>
        <w:t>所有用于计算MDL的分析</w:t>
      </w:r>
      <w:r>
        <w:rPr>
          <w:rFonts w:hint="eastAsia"/>
          <w:kern w:val="0"/>
          <w:sz w:val="18"/>
          <w:szCs w:val="18"/>
          <w:lang w:val="en-US" w:eastAsia="zh-CN"/>
        </w:rPr>
        <w:t>都是</w:t>
      </w:r>
      <w:r>
        <w:rPr>
          <w:kern w:val="0"/>
          <w:sz w:val="18"/>
          <w:szCs w:val="18"/>
        </w:rPr>
        <w:t>连续</w:t>
      </w:r>
      <w:r>
        <w:rPr>
          <w:rFonts w:hint="eastAsia"/>
          <w:kern w:val="0"/>
          <w:sz w:val="18"/>
          <w:szCs w:val="18"/>
          <w:lang w:val="en-US" w:eastAsia="zh-CN"/>
        </w:rPr>
        <w:t>的</w:t>
      </w:r>
      <w:r>
        <w:rPr>
          <w:kern w:val="0"/>
          <w:sz w:val="18"/>
          <w:szCs w:val="18"/>
        </w:rPr>
        <w:t>。</w:t>
      </w:r>
    </w:p>
    <w:p>
      <w:pPr>
        <w:ind w:left="851" w:leftChars="200" w:hanging="431"/>
        <w:rPr>
          <w:color w:val="000000"/>
          <w:kern w:val="0"/>
          <w:szCs w:val="21"/>
          <w:lang w:bidi="en-US"/>
        </w:rPr>
      </w:pPr>
      <w:r>
        <w:rPr>
          <w:kern w:val="0"/>
          <w:szCs w:val="21"/>
        </w:rPr>
        <w:t>a）</w:t>
      </w:r>
      <w:r>
        <w:rPr>
          <w:color w:val="000000"/>
          <w:kern w:val="0"/>
          <w:szCs w:val="21"/>
          <w:lang w:bidi="en-US"/>
        </w:rPr>
        <w:tab/>
      </w:r>
      <w:r>
        <w:rPr>
          <w:color w:val="000000"/>
          <w:kern w:val="0"/>
          <w:szCs w:val="21"/>
          <w:lang w:bidi="en-US"/>
        </w:rPr>
        <w:t>从已知不含HBCDD或其他可能干扰分析的化合物纯净来源中，研磨约5 g合适的聚合物。</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称量500 mg研磨后的聚合物，将其放入新的提取套管</w:t>
      </w:r>
      <w:r>
        <w:rPr>
          <w:rFonts w:hint="eastAsia"/>
          <w:color w:val="000000"/>
          <w:kern w:val="0"/>
          <w:szCs w:val="21"/>
          <w:lang w:eastAsia="zh-CN" w:bidi="en-US"/>
        </w:rPr>
        <w:t>，</w:t>
      </w:r>
      <w:r>
        <w:rPr>
          <w:rFonts w:hint="eastAsia"/>
          <w:color w:val="000000"/>
          <w:kern w:val="0"/>
          <w:szCs w:val="21"/>
          <w:lang w:val="en-US" w:eastAsia="zh-CN" w:bidi="en-US"/>
        </w:rPr>
        <w:t>再</w:t>
      </w:r>
      <w:r>
        <w:rPr>
          <w:color w:val="000000"/>
          <w:kern w:val="0"/>
          <w:szCs w:val="21"/>
          <w:lang w:bidi="en-US"/>
        </w:rPr>
        <w:t>重复此步骤</w:t>
      </w:r>
      <w:r>
        <w:rPr>
          <w:rFonts w:hint="eastAsia"/>
          <w:color w:val="000000"/>
          <w:kern w:val="0"/>
          <w:szCs w:val="21"/>
          <w:lang w:val="en-US" w:eastAsia="zh-CN" w:bidi="en-US"/>
        </w:rPr>
        <w:t>6</w:t>
      </w:r>
      <w:r>
        <w:rPr>
          <w:color w:val="000000"/>
          <w:kern w:val="0"/>
          <w:szCs w:val="21"/>
          <w:lang w:bidi="en-US"/>
        </w:rPr>
        <w:t>次。</w:t>
      </w:r>
    </w:p>
    <w:p>
      <w:pPr>
        <w:ind w:left="851" w:leftChars="200" w:hanging="431"/>
        <w:rPr>
          <w:rFonts w:hint="eastAsia" w:eastAsia="宋体"/>
          <w:color w:val="000000"/>
          <w:kern w:val="0"/>
          <w:szCs w:val="21"/>
          <w:lang w:val="en-US" w:eastAsia="zh-CN" w:bidi="en-US"/>
        </w:rPr>
      </w:pPr>
      <w:r>
        <w:rPr>
          <w:color w:val="000000"/>
          <w:kern w:val="0"/>
          <w:szCs w:val="21"/>
          <w:lang w:bidi="en-US"/>
        </w:rPr>
        <w:t>c）</w:t>
      </w:r>
      <w:r>
        <w:rPr>
          <w:color w:val="000000"/>
          <w:kern w:val="0"/>
          <w:szCs w:val="21"/>
          <w:lang w:bidi="en-US"/>
        </w:rPr>
        <w:tab/>
      </w:r>
      <w:r>
        <w:rPr>
          <w:color w:val="000000"/>
          <w:kern w:val="0"/>
          <w:szCs w:val="21"/>
          <w:lang w:bidi="en-US"/>
        </w:rPr>
        <w:t>将提取套管放入索氏提取器。</w:t>
      </w:r>
      <w:r>
        <w:rPr>
          <w:rFonts w:hint="eastAsia"/>
          <w:color w:val="000000"/>
          <w:kern w:val="0"/>
          <w:szCs w:val="21"/>
          <w:lang w:val="en-US" w:eastAsia="zh-CN" w:bidi="en-US"/>
        </w:rPr>
        <w:t xml:space="preserve"> </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在套管中加入0.1</w:t>
      </w:r>
      <w:r>
        <w:rPr>
          <w:rFonts w:hint="eastAsia"/>
          <w:color w:val="000000"/>
          <w:kern w:val="0"/>
          <w:szCs w:val="21"/>
          <w:lang w:eastAsia="zh-CN" w:bidi="en-US"/>
        </w:rPr>
        <w:t xml:space="preserve"> mL</w:t>
      </w:r>
      <w:r>
        <w:rPr>
          <w:color w:val="000000"/>
          <w:kern w:val="0"/>
          <w:szCs w:val="21"/>
          <w:lang w:bidi="en-US"/>
        </w:rPr>
        <w:t>的HBCDD（100μg/</w:t>
      </w:r>
      <w:r>
        <w:rPr>
          <w:rFonts w:hint="eastAsia"/>
          <w:color w:val="000000"/>
          <w:kern w:val="0"/>
          <w:szCs w:val="21"/>
          <w:lang w:eastAsia="zh-CN" w:bidi="en-US"/>
        </w:rPr>
        <w:t xml:space="preserve"> mL</w:t>
      </w:r>
      <w:r>
        <w:rPr>
          <w:color w:val="000000"/>
          <w:kern w:val="0"/>
          <w:szCs w:val="21"/>
          <w:lang w:bidi="en-US"/>
        </w:rPr>
        <w:t>），与最低浓度校准品的浓度相近。</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执行程序（根据8.2.3或8.2.4提取）来提取每份样品。完成相应分析。</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每份HBCDD的回收率范围应在70％至130％之间。如果回收率高于或低于这些限值，应重新进行分析。如果第二次回收率超出了这些限值，则应重复整个提取和分析程序。</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color w:val="000000"/>
          <w:kern w:val="0"/>
          <w:szCs w:val="21"/>
          <w:lang w:bidi="en-US"/>
        </w:rPr>
        <w:t>HBCDD的MDL计算结果应小于或等于20 mg/kg。如果任何一份HBCDD的MDL计算结果高于这些限值，则应对该HBCDD重新执行</w:t>
      </w:r>
      <w:r>
        <w:rPr>
          <w:color w:val="000000"/>
          <w:kern w:val="0"/>
          <w:szCs w:val="21"/>
          <w:highlight w:val="none"/>
          <w:lang w:bidi="en-US"/>
        </w:rPr>
        <w:t>提取和分析程序。</w:t>
      </w:r>
    </w:p>
    <w:p>
      <w:pPr>
        <w:ind w:left="851" w:leftChars="200" w:hanging="431"/>
        <w:rPr>
          <w:color w:val="000000"/>
          <w:kern w:val="0"/>
          <w:szCs w:val="21"/>
          <w:lang w:bidi="en-US"/>
        </w:rPr>
      </w:pPr>
      <w:r>
        <w:rPr>
          <w:color w:val="000000"/>
          <w:kern w:val="0"/>
          <w:szCs w:val="21"/>
          <w:lang w:bidi="en-US"/>
        </w:rPr>
        <w:t>h）</w:t>
      </w:r>
      <w:r>
        <w:rPr>
          <w:color w:val="000000"/>
          <w:kern w:val="0"/>
          <w:szCs w:val="21"/>
          <w:lang w:bidi="en-US"/>
        </w:rPr>
        <w:tab/>
      </w:r>
      <w:r>
        <w:rPr>
          <w:color w:val="000000"/>
          <w:kern w:val="0"/>
          <w:szCs w:val="21"/>
          <w:lang w:bidi="en-US"/>
        </w:rPr>
        <w:t>HBCDD的</w:t>
      </w:r>
      <w:r>
        <w:rPr>
          <w:rFonts w:hint="eastAsia"/>
          <w:color w:val="000000"/>
          <w:kern w:val="0"/>
          <w:szCs w:val="21"/>
          <w:lang w:eastAsia="zh-CN" w:bidi="en-US"/>
        </w:rPr>
        <w:t>定量限</w:t>
      </w:r>
      <w:r>
        <w:rPr>
          <w:color w:val="000000"/>
          <w:kern w:val="0"/>
          <w:szCs w:val="21"/>
          <w:lang w:bidi="en-US"/>
        </w:rPr>
        <w:t>应至少是M</w:t>
      </w:r>
      <w:r>
        <w:rPr>
          <w:color w:val="000000"/>
          <w:kern w:val="0"/>
          <w:szCs w:val="21"/>
          <w:highlight w:val="none"/>
          <w:lang w:bidi="en-US"/>
        </w:rPr>
        <w:t>DL的三倍</w:t>
      </w:r>
      <w:r>
        <w:rPr>
          <w:rFonts w:hint="eastAsia"/>
          <w:color w:val="000000"/>
          <w:kern w:val="0"/>
          <w:szCs w:val="21"/>
          <w:highlight w:val="none"/>
          <w:lang w:eastAsia="zh-CN" w:bidi="en-US"/>
        </w:rPr>
        <w:t>，值为</w:t>
      </w:r>
      <w:r>
        <w:rPr>
          <w:color w:val="000000"/>
          <w:kern w:val="0"/>
          <w:szCs w:val="21"/>
          <w:highlight w:val="none"/>
          <w:lang w:bidi="en-US"/>
        </w:rPr>
        <w:t>60 mg/kg。M</w:t>
      </w:r>
      <w:r>
        <w:rPr>
          <w:color w:val="000000"/>
          <w:kern w:val="0"/>
          <w:szCs w:val="21"/>
          <w:lang w:bidi="en-US"/>
        </w:rPr>
        <w:t>DL只与检测相关，</w:t>
      </w:r>
      <w:r>
        <w:rPr>
          <w:rFonts w:hint="eastAsia"/>
          <w:color w:val="000000"/>
          <w:kern w:val="0"/>
          <w:szCs w:val="21"/>
          <w:lang w:eastAsia="zh-CN" w:bidi="en-US"/>
        </w:rPr>
        <w:t>定量限</w:t>
      </w:r>
      <w:r>
        <w:rPr>
          <w:color w:val="000000"/>
          <w:kern w:val="0"/>
          <w:szCs w:val="21"/>
          <w:lang w:bidi="en-US"/>
        </w:rPr>
        <w:t>与其不同，指的是某一特定化合物可以准确量化的浓度。</w:t>
      </w:r>
    </w:p>
    <w:p>
      <w:pPr>
        <w:ind w:firstLine="360" w:firstLineChars="200"/>
        <w:rPr>
          <w:kern w:val="0"/>
          <w:sz w:val="18"/>
          <w:szCs w:val="18"/>
        </w:rPr>
      </w:pPr>
      <w:r>
        <w:rPr>
          <w:rFonts w:hint="eastAsia" w:ascii="黑体" w:hAnsi="黑体" w:eastAsia="黑体" w:cs="黑体"/>
          <w:kern w:val="0"/>
          <w:sz w:val="18"/>
          <w:szCs w:val="18"/>
        </w:rPr>
        <w:t>注2：</w:t>
      </w:r>
      <w:r>
        <w:rPr>
          <w:kern w:val="0"/>
          <w:sz w:val="18"/>
          <w:szCs w:val="18"/>
        </w:rPr>
        <w:t>如果不能满足MDL要求，可以在提取程序中增加浓缩步骤。由于浓缩步骤也会增加提取物中的聚合物浓度，因此对每份样品还需执行净化步骤。这样可以延长管柱寿命，降低仪器维护频率。如果分析时使用了浓缩和净化步骤，对</w:t>
      </w:r>
      <w:r>
        <w:rPr>
          <w:rFonts w:hint="eastAsia"/>
          <w:kern w:val="0"/>
          <w:sz w:val="18"/>
          <w:szCs w:val="18"/>
          <w:lang w:val="en-US" w:eastAsia="zh-CN"/>
        </w:rPr>
        <w:t>确定方法检出限是处理</w:t>
      </w:r>
      <w:r>
        <w:rPr>
          <w:kern w:val="0"/>
          <w:sz w:val="18"/>
          <w:szCs w:val="18"/>
        </w:rPr>
        <w:t>样品</w:t>
      </w:r>
      <w:r>
        <w:rPr>
          <w:rFonts w:hint="eastAsia"/>
          <w:kern w:val="0"/>
          <w:sz w:val="18"/>
          <w:szCs w:val="18"/>
          <w:lang w:val="en-US" w:eastAsia="zh-CN"/>
        </w:rPr>
        <w:t>过程</w:t>
      </w:r>
      <w:r>
        <w:rPr>
          <w:kern w:val="0"/>
          <w:sz w:val="18"/>
          <w:szCs w:val="18"/>
        </w:rPr>
        <w:t>也</w:t>
      </w:r>
      <w:r>
        <w:rPr>
          <w:rFonts w:hint="eastAsia"/>
          <w:kern w:val="0"/>
          <w:sz w:val="18"/>
          <w:szCs w:val="18"/>
          <w:lang w:val="en-US" w:eastAsia="zh-CN"/>
        </w:rPr>
        <w:t>需要包含</w:t>
      </w:r>
      <w:r>
        <w:rPr>
          <w:kern w:val="0"/>
          <w:sz w:val="18"/>
          <w:szCs w:val="18"/>
        </w:rPr>
        <w:t>这些步骤。</w:t>
      </w:r>
    </w:p>
    <w:p>
      <w:pPr>
        <w:widowControl/>
        <w:spacing w:before="312" w:beforeLines="100" w:after="312" w:afterLines="100"/>
        <w:outlineLvl w:val="0"/>
        <w:rPr>
          <w:rFonts w:ascii="黑体" w:hAnsi="黑体" w:eastAsia="黑体"/>
          <w:kern w:val="0"/>
          <w:szCs w:val="20"/>
        </w:rPr>
      </w:pPr>
      <w:r>
        <w:rPr>
          <w:rFonts w:ascii="黑体" w:hAnsi="黑体" w:eastAsia="黑体"/>
          <w:kern w:val="0"/>
          <w:szCs w:val="20"/>
        </w:rPr>
        <w:t>12 检测报告</w:t>
      </w:r>
    </w:p>
    <w:p>
      <w:pPr>
        <w:ind w:firstLine="420" w:firstLineChars="200"/>
        <w:rPr>
          <w:kern w:val="0"/>
          <w:szCs w:val="21"/>
        </w:rPr>
      </w:pPr>
      <w:r>
        <w:rPr>
          <w:kern w:val="0"/>
          <w:szCs w:val="21"/>
        </w:rPr>
        <w:t>本文件适</w:t>
      </w:r>
      <w:r>
        <w:rPr>
          <w:kern w:val="0"/>
          <w:szCs w:val="21"/>
          <w:highlight w:val="none"/>
        </w:rPr>
        <w:t>用</w:t>
      </w:r>
      <w:r>
        <w:rPr>
          <w:rFonts w:hint="eastAsia"/>
          <w:kern w:val="0"/>
          <w:szCs w:val="21"/>
          <w:highlight w:val="none"/>
          <w:lang w:val="en-US" w:eastAsia="zh-CN"/>
        </w:rPr>
        <w:t>GB/T 39560.1-2020 4.8</w:t>
      </w:r>
      <w:r>
        <w:rPr>
          <w:kern w:val="0"/>
          <w:szCs w:val="21"/>
          <w:highlight w:val="none"/>
        </w:rPr>
        <w:t>（</w:t>
      </w:r>
      <w:r>
        <w:rPr>
          <w:kern w:val="0"/>
          <w:szCs w:val="21"/>
        </w:rPr>
        <w:t>检测报告）。</w:t>
      </w:r>
    </w:p>
    <w:p>
      <w:pPr>
        <w:rPr>
          <w:color w:val="000000"/>
          <w:kern w:val="0"/>
          <w:szCs w:val="21"/>
          <w:lang w:bidi="en-US"/>
        </w:rPr>
      </w:pPr>
      <w:r>
        <w:rPr>
          <w:rFonts w:eastAsia="Microsoft JhengHei Light"/>
          <w:color w:val="000000"/>
          <w:kern w:val="0"/>
          <w:sz w:val="24"/>
          <w:lang w:bidi="en-US"/>
        </w:rPr>
        <w:br w:type="page"/>
      </w:r>
    </w:p>
    <w:p>
      <w:pPr>
        <w:keepNext/>
        <w:widowControl/>
        <w:shd w:val="clear" w:color="FFFFFF" w:fill="FFFFFF"/>
        <w:tabs>
          <w:tab w:val="left" w:pos="6405"/>
        </w:tabs>
        <w:spacing w:before="640" w:after="280"/>
        <w:jc w:val="center"/>
        <w:outlineLvl w:val="0"/>
        <w:rPr>
          <w:rFonts w:eastAsia="黑体"/>
          <w:kern w:val="0"/>
          <w:szCs w:val="20"/>
          <w:highlight w:val="none"/>
        </w:rPr>
      </w:pPr>
      <w:r>
        <w:rPr>
          <w:rFonts w:eastAsia="黑体"/>
          <w:kern w:val="0"/>
          <w:szCs w:val="20"/>
        </w:rPr>
        <w:t>附录A</w:t>
      </w:r>
      <w:r>
        <w:rPr>
          <w:rFonts w:eastAsia="黑体"/>
          <w:kern w:val="0"/>
          <w:szCs w:val="20"/>
        </w:rPr>
        <w:br w:type="textWrapping"/>
      </w:r>
      <w:bookmarkStart w:id="31" w:name="bookmark25"/>
      <w:r>
        <w:rPr>
          <w:rFonts w:eastAsia="黑体"/>
          <w:kern w:val="0"/>
          <w:szCs w:val="20"/>
          <w:highlight w:val="none"/>
        </w:rPr>
        <w:t>（资料性）</w:t>
      </w:r>
      <w:bookmarkEnd w:id="31"/>
      <w:r>
        <w:rPr>
          <w:rFonts w:eastAsia="黑体"/>
          <w:kern w:val="0"/>
          <w:szCs w:val="20"/>
          <w:highlight w:val="none"/>
        </w:rPr>
        <w:br w:type="textWrapping"/>
      </w:r>
      <w:r>
        <w:rPr>
          <w:rFonts w:hint="eastAsia" w:eastAsia="黑体"/>
          <w:color w:val="auto"/>
          <w:kern w:val="0"/>
          <w:szCs w:val="20"/>
          <w:highlight w:val="none"/>
          <w:lang w:val="en-US" w:eastAsia="zh-CN"/>
        </w:rPr>
        <w:t>高效</w:t>
      </w:r>
      <w:r>
        <w:rPr>
          <w:rFonts w:eastAsia="黑体"/>
          <w:color w:val="auto"/>
          <w:kern w:val="0"/>
          <w:szCs w:val="20"/>
          <w:highlight w:val="none"/>
        </w:rPr>
        <w:t>液相</w:t>
      </w:r>
      <w:r>
        <w:rPr>
          <w:rFonts w:eastAsia="黑体"/>
          <w:kern w:val="0"/>
          <w:szCs w:val="20"/>
          <w:highlight w:val="none"/>
        </w:rPr>
        <w:t>色谱-质谱法（HPLC-MS）测定聚合物中的六溴环十二烷</w:t>
      </w:r>
    </w:p>
    <w:p>
      <w:pPr>
        <w:pStyle w:val="47"/>
        <w:rPr>
          <w:highlight w:val="none"/>
        </w:rPr>
      </w:pPr>
      <w:r>
        <w:rPr>
          <w:highlight w:val="none"/>
        </w:rPr>
        <w:t>A.1 原理</w:t>
      </w:r>
    </w:p>
    <w:p>
      <w:pPr>
        <w:adjustRightInd w:val="0"/>
        <w:snapToGrid w:val="0"/>
        <w:spacing w:before="156" w:beforeLines="50" w:after="156" w:afterLines="50"/>
        <w:ind w:firstLine="420" w:firstLineChars="200"/>
        <w:rPr>
          <w:color w:val="000000"/>
          <w:kern w:val="0"/>
          <w:szCs w:val="21"/>
          <w:highlight w:val="none"/>
          <w:lang w:bidi="en-US"/>
        </w:rPr>
      </w:pPr>
      <w:r>
        <w:rPr>
          <w:color w:val="000000"/>
          <w:kern w:val="0"/>
          <w:szCs w:val="21"/>
          <w:highlight w:val="none"/>
          <w:lang w:bidi="en-US"/>
        </w:rPr>
        <w:t>在</w:t>
      </w:r>
      <w:r>
        <w:rPr>
          <w:rFonts w:hint="eastAsia"/>
          <w:color w:val="000000"/>
          <w:kern w:val="0"/>
          <w:szCs w:val="21"/>
          <w:highlight w:val="none"/>
          <w:lang w:eastAsia="zh-CN" w:bidi="en-US"/>
        </w:rPr>
        <w:t>高效</w:t>
      </w:r>
      <w:r>
        <w:rPr>
          <w:color w:val="000000"/>
          <w:kern w:val="0"/>
          <w:szCs w:val="21"/>
          <w:highlight w:val="none"/>
          <w:lang w:bidi="en-US"/>
        </w:rPr>
        <w:t>液相色谱-质谱</w:t>
      </w:r>
      <w:r>
        <w:rPr>
          <w:rFonts w:hint="eastAsia"/>
          <w:color w:val="000000"/>
          <w:kern w:val="0"/>
          <w:szCs w:val="21"/>
          <w:highlight w:val="none"/>
          <w:lang w:val="en-US" w:eastAsia="zh-CN" w:bidi="en-US"/>
        </w:rPr>
        <w:t>仪</w:t>
      </w:r>
      <w:r>
        <w:rPr>
          <w:color w:val="000000"/>
          <w:kern w:val="0"/>
          <w:szCs w:val="21"/>
          <w:highlight w:val="none"/>
          <w:lang w:bidi="en-US"/>
        </w:rPr>
        <w:t>（HPLC-MS）中，采用索氏提取或超声波溶解聚合物，经过HPLC分离，采用单离子（或“选择性”）检测（SIM）完成定性和定量检测，以此测定六溴环十二烷（HBCDD）。</w:t>
      </w:r>
    </w:p>
    <w:p>
      <w:pPr>
        <w:pStyle w:val="47"/>
        <w:rPr>
          <w:highlight w:val="none"/>
        </w:rPr>
      </w:pPr>
      <w:r>
        <w:rPr>
          <w:highlight w:val="none"/>
        </w:rPr>
        <w:t>A.2 试剂与材料</w:t>
      </w:r>
    </w:p>
    <w:p>
      <w:pPr>
        <w:ind w:firstLine="420" w:firstLineChars="200"/>
        <w:rPr>
          <w:kern w:val="0"/>
          <w:szCs w:val="21"/>
          <w:highlight w:val="none"/>
        </w:rPr>
      </w:pPr>
      <w:r>
        <w:rPr>
          <w:kern w:val="0"/>
          <w:szCs w:val="21"/>
          <w:highlight w:val="none"/>
        </w:rPr>
        <w:t>所有试剂化学品在使用前应进行污染和空白值检测。</w:t>
      </w:r>
    </w:p>
    <w:p>
      <w:pPr>
        <w:ind w:firstLine="420" w:firstLineChars="200"/>
        <w:rPr>
          <w:kern w:val="0"/>
          <w:szCs w:val="21"/>
          <w:highlight w:val="none"/>
        </w:rPr>
      </w:pPr>
      <w:r>
        <w:rPr>
          <w:kern w:val="0"/>
          <w:szCs w:val="21"/>
          <w:highlight w:val="none"/>
        </w:rPr>
        <w:t>a）</w:t>
      </w:r>
      <w:r>
        <w:rPr>
          <w:kern w:val="0"/>
          <w:szCs w:val="21"/>
          <w:highlight w:val="none"/>
        </w:rPr>
        <w:tab/>
      </w:r>
      <w:r>
        <w:rPr>
          <w:kern w:val="0"/>
          <w:szCs w:val="21"/>
          <w:highlight w:val="none"/>
        </w:rPr>
        <w:t>甲苯（优级纯试剂，纯度大于99%</w:t>
      </w:r>
      <w:r>
        <w:rPr>
          <w:rFonts w:hint="eastAsia"/>
          <w:kern w:val="0"/>
          <w:szCs w:val="21"/>
          <w:highlight w:val="none"/>
          <w:lang w:val="en-US" w:eastAsia="zh-CN"/>
        </w:rPr>
        <w:t>,</w:t>
      </w:r>
      <w:r>
        <w:rPr>
          <w:kern w:val="0"/>
          <w:szCs w:val="21"/>
          <w:highlight w:val="none"/>
        </w:rPr>
        <w:t>体积分数）；</w:t>
      </w:r>
    </w:p>
    <w:p>
      <w:pPr>
        <w:ind w:firstLine="420" w:firstLineChars="200"/>
        <w:rPr>
          <w:kern w:val="0"/>
          <w:szCs w:val="21"/>
          <w:highlight w:val="none"/>
        </w:rPr>
      </w:pPr>
      <w:r>
        <w:rPr>
          <w:kern w:val="0"/>
          <w:szCs w:val="21"/>
          <w:highlight w:val="none"/>
        </w:rPr>
        <w:t>b）</w:t>
      </w:r>
      <w:r>
        <w:rPr>
          <w:kern w:val="0"/>
          <w:szCs w:val="21"/>
          <w:highlight w:val="none"/>
        </w:rPr>
        <w:tab/>
      </w:r>
      <w:r>
        <w:rPr>
          <w:kern w:val="0"/>
          <w:szCs w:val="21"/>
          <w:highlight w:val="none"/>
        </w:rPr>
        <w:t>四氢呋喃（THF）（优级纯试剂，纯度大于99%</w:t>
      </w:r>
      <w:r>
        <w:rPr>
          <w:rFonts w:hint="eastAsia"/>
          <w:kern w:val="0"/>
          <w:szCs w:val="21"/>
          <w:highlight w:val="none"/>
          <w:lang w:val="en-US" w:eastAsia="zh-CN"/>
        </w:rPr>
        <w:t>,</w:t>
      </w:r>
      <w:r>
        <w:rPr>
          <w:kern w:val="0"/>
          <w:szCs w:val="21"/>
          <w:highlight w:val="none"/>
        </w:rPr>
        <w:t>体积分数）；</w:t>
      </w:r>
    </w:p>
    <w:p>
      <w:pPr>
        <w:ind w:firstLine="420" w:firstLineChars="200"/>
        <w:rPr>
          <w:kern w:val="0"/>
          <w:szCs w:val="21"/>
          <w:highlight w:val="none"/>
        </w:rPr>
      </w:pPr>
      <w:r>
        <w:rPr>
          <w:kern w:val="0"/>
          <w:szCs w:val="21"/>
          <w:highlight w:val="none"/>
        </w:rPr>
        <w:t>c）</w:t>
      </w:r>
      <w:r>
        <w:rPr>
          <w:kern w:val="0"/>
          <w:szCs w:val="21"/>
          <w:highlight w:val="none"/>
        </w:rPr>
        <w:tab/>
      </w:r>
      <w:r>
        <w:rPr>
          <w:kern w:val="0"/>
          <w:szCs w:val="21"/>
          <w:highlight w:val="none"/>
        </w:rPr>
        <w:t>甲醇（HPLC级或更高）；</w:t>
      </w:r>
    </w:p>
    <w:p>
      <w:pPr>
        <w:ind w:firstLine="420" w:firstLineChars="200"/>
        <w:rPr>
          <w:kern w:val="0"/>
          <w:szCs w:val="21"/>
          <w:highlight w:val="none"/>
        </w:rPr>
      </w:pPr>
      <w:r>
        <w:rPr>
          <w:kern w:val="0"/>
          <w:szCs w:val="21"/>
          <w:highlight w:val="none"/>
        </w:rPr>
        <w:t>d）</w:t>
      </w:r>
      <w:r>
        <w:rPr>
          <w:kern w:val="0"/>
          <w:szCs w:val="21"/>
          <w:highlight w:val="none"/>
        </w:rPr>
        <w:tab/>
      </w:r>
      <w:r>
        <w:rPr>
          <w:kern w:val="0"/>
          <w:szCs w:val="21"/>
          <w:highlight w:val="none"/>
        </w:rPr>
        <w:t>乙酸铵（优级纯试剂，纯度大于99%</w:t>
      </w:r>
      <w:r>
        <w:rPr>
          <w:rFonts w:hint="eastAsia"/>
          <w:kern w:val="0"/>
          <w:szCs w:val="21"/>
          <w:highlight w:val="none"/>
          <w:lang w:val="en-US" w:eastAsia="zh-CN"/>
        </w:rPr>
        <w:t>,</w:t>
      </w:r>
      <w:r>
        <w:rPr>
          <w:kern w:val="0"/>
          <w:szCs w:val="21"/>
          <w:highlight w:val="none"/>
        </w:rPr>
        <w:t>体积分数）；</w:t>
      </w:r>
    </w:p>
    <w:p>
      <w:pPr>
        <w:ind w:firstLine="420" w:firstLineChars="200"/>
        <w:rPr>
          <w:kern w:val="0"/>
          <w:szCs w:val="21"/>
          <w:highlight w:val="none"/>
        </w:rPr>
      </w:pPr>
      <w:r>
        <w:rPr>
          <w:kern w:val="0"/>
          <w:szCs w:val="21"/>
          <w:highlight w:val="none"/>
        </w:rPr>
        <w:t>e）</w:t>
      </w:r>
      <w:r>
        <w:rPr>
          <w:kern w:val="0"/>
          <w:szCs w:val="21"/>
          <w:highlight w:val="none"/>
        </w:rPr>
        <w:tab/>
      </w:r>
      <w:r>
        <w:rPr>
          <w:kern w:val="0"/>
          <w:szCs w:val="21"/>
          <w:highlight w:val="none"/>
        </w:rPr>
        <w:t>乙腈；</w:t>
      </w:r>
    </w:p>
    <w:p>
      <w:pPr>
        <w:ind w:left="851" w:leftChars="200" w:hanging="431"/>
        <w:rPr>
          <w:color w:val="000000"/>
          <w:kern w:val="0"/>
          <w:szCs w:val="21"/>
          <w:lang w:bidi="en-US"/>
        </w:rPr>
      </w:pPr>
      <w:r>
        <w:rPr>
          <w:kern w:val="0"/>
          <w:szCs w:val="21"/>
          <w:highlight w:val="none"/>
        </w:rPr>
        <w:t>f）</w:t>
      </w:r>
      <w:r>
        <w:rPr>
          <w:kern w:val="0"/>
          <w:szCs w:val="21"/>
          <w:highlight w:val="none"/>
        </w:rPr>
        <w:tab/>
      </w:r>
      <w:r>
        <w:rPr>
          <w:kern w:val="0"/>
          <w:szCs w:val="21"/>
          <w:highlight w:val="none"/>
        </w:rPr>
        <w:t>20m</w:t>
      </w:r>
      <w:r>
        <w:rPr>
          <w:rFonts w:hint="eastAsia"/>
          <w:kern w:val="0"/>
          <w:szCs w:val="21"/>
          <w:highlight w:val="none"/>
          <w:lang w:val="en-US" w:eastAsia="zh-CN"/>
        </w:rPr>
        <w:t>ol</w:t>
      </w:r>
      <w:r>
        <w:rPr>
          <w:kern w:val="0"/>
          <w:szCs w:val="21"/>
          <w:highlight w:val="none"/>
        </w:rPr>
        <w:t>/</w:t>
      </w:r>
      <w:r>
        <w:rPr>
          <w:rFonts w:hint="eastAsia"/>
          <w:kern w:val="0"/>
          <w:szCs w:val="21"/>
          <w:highlight w:val="none"/>
          <w:lang w:val="en-US" w:eastAsia="zh-CN"/>
        </w:rPr>
        <w:t>L</w:t>
      </w:r>
      <w:r>
        <w:rPr>
          <w:kern w:val="0"/>
          <w:szCs w:val="21"/>
          <w:highlight w:val="none"/>
        </w:rPr>
        <w:t>乙酸铵缓冲溶液：</w:t>
      </w:r>
      <w:r>
        <w:rPr>
          <w:color w:val="000000"/>
          <w:kern w:val="0"/>
          <w:szCs w:val="21"/>
          <w:highlight w:val="none"/>
          <w:lang w:bidi="en-US"/>
        </w:rPr>
        <w:t>在1000</w:t>
      </w:r>
      <w:r>
        <w:rPr>
          <w:rFonts w:hint="eastAsia"/>
          <w:color w:val="000000"/>
          <w:kern w:val="0"/>
          <w:szCs w:val="21"/>
          <w:highlight w:val="none"/>
          <w:lang w:eastAsia="zh-CN" w:bidi="en-US"/>
        </w:rPr>
        <w:t xml:space="preserve"> mL</w:t>
      </w:r>
      <w:r>
        <w:rPr>
          <w:color w:val="000000"/>
          <w:kern w:val="0"/>
          <w:szCs w:val="21"/>
          <w:highlight w:val="none"/>
          <w:lang w:bidi="en-US"/>
        </w:rPr>
        <w:t>烧杯中加入1542 g乙酸铵，用少量纯化水（ISO 3696中规定的1级）溶</w:t>
      </w:r>
      <w:r>
        <w:rPr>
          <w:color w:val="000000"/>
          <w:kern w:val="0"/>
          <w:szCs w:val="21"/>
          <w:lang w:bidi="en-US"/>
        </w:rPr>
        <w:t>解，然后加入900</w:t>
      </w:r>
      <w:r>
        <w:rPr>
          <w:rFonts w:hint="eastAsia"/>
          <w:color w:val="000000"/>
          <w:kern w:val="0"/>
          <w:szCs w:val="21"/>
          <w:lang w:eastAsia="zh-CN" w:bidi="en-US"/>
        </w:rPr>
        <w:t xml:space="preserve"> mL</w:t>
      </w:r>
      <w:r>
        <w:rPr>
          <w:color w:val="000000"/>
          <w:kern w:val="0"/>
          <w:szCs w:val="21"/>
          <w:lang w:bidi="en-US"/>
        </w:rPr>
        <w:t>纯化水。加入10</w:t>
      </w:r>
      <w:r>
        <w:rPr>
          <w:rFonts w:hint="eastAsia"/>
          <w:color w:val="000000"/>
          <w:kern w:val="0"/>
          <w:szCs w:val="21"/>
          <w:lang w:eastAsia="zh-CN" w:bidi="en-US"/>
        </w:rPr>
        <w:t xml:space="preserve"> mL</w:t>
      </w:r>
      <w:r>
        <w:rPr>
          <w:color w:val="000000"/>
          <w:kern w:val="0"/>
          <w:szCs w:val="21"/>
          <w:lang w:bidi="en-US"/>
        </w:rPr>
        <w:t>乙腈，用纯化水稀释至标记线。用膜滤器过滤溶液，转移至1000</w:t>
      </w:r>
      <w:r>
        <w:rPr>
          <w:rFonts w:hint="eastAsia"/>
          <w:color w:val="000000"/>
          <w:kern w:val="0"/>
          <w:szCs w:val="21"/>
          <w:lang w:eastAsia="zh-CN" w:bidi="en-US"/>
        </w:rPr>
        <w:t xml:space="preserve"> mL</w:t>
      </w:r>
      <w:r>
        <w:rPr>
          <w:color w:val="000000"/>
          <w:kern w:val="0"/>
          <w:szCs w:val="21"/>
          <w:lang w:bidi="en-US"/>
        </w:rPr>
        <w:t>容器中，盖上盖子；</w:t>
      </w:r>
    </w:p>
    <w:p>
      <w:pPr>
        <w:ind w:left="851" w:leftChars="200" w:hanging="431"/>
        <w:rPr>
          <w:color w:val="000000"/>
          <w:kern w:val="0"/>
          <w:szCs w:val="21"/>
          <w:lang w:bidi="en-US"/>
        </w:rPr>
      </w:pPr>
      <w:r>
        <w:rPr>
          <w:kern w:val="0"/>
          <w:szCs w:val="21"/>
        </w:rPr>
        <w:t>g）</w:t>
      </w:r>
      <w:r>
        <w:rPr>
          <w:color w:val="000000"/>
          <w:kern w:val="0"/>
          <w:szCs w:val="21"/>
          <w:lang w:bidi="en-US"/>
        </w:rPr>
        <w:tab/>
      </w:r>
      <w:r>
        <w:rPr>
          <w:color w:val="000000"/>
          <w:kern w:val="0"/>
          <w:szCs w:val="21"/>
          <w:lang w:bidi="en-US"/>
        </w:rPr>
        <w:t>混合溶剂溶液（四氢呋喃和乙腈或甲醇）；</w:t>
      </w:r>
    </w:p>
    <w:p>
      <w:pPr>
        <w:ind w:left="851" w:leftChars="200" w:hanging="431"/>
        <w:rPr>
          <w:color w:val="000000"/>
          <w:kern w:val="0"/>
          <w:szCs w:val="21"/>
          <w:lang w:bidi="en-US"/>
        </w:rPr>
      </w:pPr>
      <w:r>
        <w:rPr>
          <w:color w:val="000000"/>
          <w:kern w:val="0"/>
          <w:szCs w:val="21"/>
          <w:lang w:bidi="en-US"/>
        </w:rPr>
        <w:t>h）</w:t>
      </w:r>
      <w:r>
        <w:rPr>
          <w:color w:val="000000"/>
          <w:kern w:val="0"/>
          <w:szCs w:val="21"/>
          <w:lang w:bidi="en-US"/>
        </w:rPr>
        <w:tab/>
      </w:r>
      <w:r>
        <w:rPr>
          <w:color w:val="000000"/>
          <w:kern w:val="0"/>
          <w:szCs w:val="21"/>
          <w:lang w:bidi="en-US"/>
        </w:rPr>
        <w:t>在2000</w:t>
      </w:r>
      <w:r>
        <w:rPr>
          <w:rFonts w:hint="eastAsia"/>
          <w:color w:val="000000"/>
          <w:kern w:val="0"/>
          <w:szCs w:val="21"/>
          <w:lang w:eastAsia="zh-CN" w:bidi="en-US"/>
        </w:rPr>
        <w:t xml:space="preserve"> mL</w:t>
      </w:r>
      <w:r>
        <w:rPr>
          <w:color w:val="000000"/>
          <w:kern w:val="0"/>
          <w:szCs w:val="21"/>
          <w:lang w:bidi="en-US"/>
        </w:rPr>
        <w:t>烧杯中加入500</w:t>
      </w:r>
      <w:r>
        <w:rPr>
          <w:rFonts w:hint="eastAsia"/>
          <w:color w:val="000000"/>
          <w:kern w:val="0"/>
          <w:szCs w:val="21"/>
          <w:lang w:eastAsia="zh-CN" w:bidi="en-US"/>
        </w:rPr>
        <w:t xml:space="preserve"> mL</w:t>
      </w:r>
      <w:r>
        <w:rPr>
          <w:color w:val="000000"/>
          <w:kern w:val="0"/>
          <w:szCs w:val="21"/>
          <w:lang w:bidi="en-US"/>
        </w:rPr>
        <w:t>四氢呋喃和1000</w:t>
      </w:r>
      <w:r>
        <w:rPr>
          <w:rFonts w:hint="eastAsia"/>
          <w:color w:val="000000"/>
          <w:kern w:val="0"/>
          <w:szCs w:val="21"/>
          <w:lang w:eastAsia="zh-CN" w:bidi="en-US"/>
        </w:rPr>
        <w:t xml:space="preserve"> mL</w:t>
      </w:r>
      <w:r>
        <w:rPr>
          <w:color w:val="000000"/>
          <w:kern w:val="0"/>
          <w:szCs w:val="21"/>
          <w:lang w:bidi="en-US"/>
        </w:rPr>
        <w:t>乙腈或甲醇并混合；</w:t>
      </w:r>
    </w:p>
    <w:p>
      <w:pPr>
        <w:ind w:left="851" w:leftChars="200" w:hanging="431"/>
        <w:rPr>
          <w:color w:val="000000"/>
          <w:kern w:val="0"/>
          <w:szCs w:val="21"/>
          <w:lang w:bidi="en-US"/>
        </w:rPr>
      </w:pPr>
      <w:r>
        <w:rPr>
          <w:color w:val="000000"/>
          <w:kern w:val="0"/>
          <w:szCs w:val="21"/>
          <w:lang w:bidi="en-US"/>
        </w:rPr>
        <w:t>i）</w:t>
      </w:r>
      <w:r>
        <w:rPr>
          <w:color w:val="000000"/>
          <w:kern w:val="0"/>
          <w:szCs w:val="21"/>
          <w:lang w:bidi="en-US"/>
        </w:rPr>
        <w:tab/>
      </w:r>
      <w:r>
        <w:rPr>
          <w:rFonts w:hint="eastAsia"/>
          <w:color w:val="000000"/>
          <w:kern w:val="0"/>
          <w:szCs w:val="21"/>
          <w:lang w:val="en-US" w:eastAsia="zh-CN" w:bidi="en-US"/>
        </w:rPr>
        <w:t>标准储备溶液和标准溶液，使用</w:t>
      </w:r>
      <w:r>
        <w:rPr>
          <w:color w:val="000000"/>
          <w:kern w:val="0"/>
          <w:szCs w:val="21"/>
          <w:lang w:bidi="en-US"/>
        </w:rPr>
        <w:t>六溴环十二烷优级纯试剂</w:t>
      </w:r>
      <w:r>
        <w:rPr>
          <w:rFonts w:hint="eastAsia"/>
          <w:color w:val="000000"/>
          <w:kern w:val="0"/>
          <w:szCs w:val="21"/>
          <w:lang w:eastAsia="zh-CN" w:bidi="en-US"/>
        </w:rPr>
        <w:t>（</w:t>
      </w:r>
      <w:r>
        <w:rPr>
          <w:color w:val="000000"/>
          <w:kern w:val="0"/>
          <w:szCs w:val="21"/>
          <w:lang w:bidi="en-US"/>
        </w:rPr>
        <w:t>纯度大于99%</w:t>
      </w:r>
      <w:r>
        <w:rPr>
          <w:rFonts w:hint="eastAsia"/>
          <w:color w:val="000000"/>
          <w:kern w:val="0"/>
          <w:szCs w:val="21"/>
          <w:lang w:eastAsia="zh-CN" w:bidi="en-US"/>
        </w:rPr>
        <w:t>，</w:t>
      </w:r>
      <w:r>
        <w:rPr>
          <w:color w:val="000000"/>
          <w:kern w:val="0"/>
          <w:szCs w:val="21"/>
          <w:lang w:bidi="en-US"/>
        </w:rPr>
        <w:t>体积分数）</w:t>
      </w:r>
      <w:r>
        <w:rPr>
          <w:rFonts w:hint="eastAsia"/>
          <w:color w:val="000000"/>
          <w:kern w:val="0"/>
          <w:szCs w:val="21"/>
          <w:lang w:val="en-US" w:eastAsia="zh-CN" w:bidi="en-US"/>
        </w:rPr>
        <w:t>或其它商用</w:t>
      </w:r>
      <w:r>
        <w:rPr>
          <w:color w:val="000000"/>
          <w:kern w:val="0"/>
          <w:szCs w:val="21"/>
          <w:lang w:bidi="en-US"/>
        </w:rPr>
        <w:t>六溴环十二烷</w:t>
      </w:r>
      <w:r>
        <w:rPr>
          <w:rFonts w:hint="eastAsia"/>
          <w:color w:val="000000"/>
          <w:kern w:val="0"/>
          <w:szCs w:val="21"/>
          <w:lang w:val="en-US" w:eastAsia="zh-CN" w:bidi="en-US"/>
        </w:rPr>
        <w:t>有证标准物质进行配置</w:t>
      </w:r>
      <w:r>
        <w:rPr>
          <w:rFonts w:hint="eastAsia"/>
          <w:color w:val="000000"/>
          <w:kern w:val="0"/>
          <w:szCs w:val="21"/>
          <w:lang w:eastAsia="zh-CN" w:bidi="en-US"/>
        </w:rPr>
        <w:t>，</w:t>
      </w:r>
      <w:r>
        <w:rPr>
          <w:rFonts w:hint="eastAsia"/>
          <w:color w:val="000000"/>
          <w:kern w:val="0"/>
          <w:szCs w:val="21"/>
          <w:lang w:val="en-US" w:eastAsia="zh-CN" w:bidi="en-US"/>
        </w:rPr>
        <w:t>方法</w:t>
      </w:r>
      <w:r>
        <w:rPr>
          <w:color w:val="000000"/>
          <w:kern w:val="0"/>
          <w:szCs w:val="21"/>
          <w:lang w:bidi="en-US"/>
        </w:rPr>
        <w:t>见8.4</w:t>
      </w:r>
      <w:r>
        <w:rPr>
          <w:rFonts w:hint="eastAsia"/>
          <w:color w:val="000000"/>
          <w:kern w:val="0"/>
          <w:szCs w:val="21"/>
          <w:lang w:val="en-US" w:eastAsia="zh-CN" w:bidi="en-US"/>
        </w:rPr>
        <w:t>和8.5.2</w:t>
      </w:r>
      <w:r>
        <w:rPr>
          <w:color w:val="000000"/>
          <w:kern w:val="0"/>
          <w:szCs w:val="21"/>
          <w:lang w:bidi="en-US"/>
        </w:rPr>
        <w:t>。</w:t>
      </w:r>
    </w:p>
    <w:p>
      <w:pPr>
        <w:pStyle w:val="47"/>
        <w:rPr>
          <w:rFonts w:hint="eastAsia" w:eastAsia="黑体"/>
          <w:lang w:val="en-US" w:eastAsia="zh-CN"/>
        </w:rPr>
      </w:pPr>
      <w:r>
        <w:t xml:space="preserve">A.3 </w:t>
      </w:r>
      <w:r>
        <w:rPr>
          <w:rFonts w:hint="eastAsia"/>
          <w:lang w:val="en-US" w:eastAsia="zh-CN"/>
        </w:rPr>
        <w:t>仪器设备</w:t>
      </w:r>
    </w:p>
    <w:p>
      <w:pPr>
        <w:ind w:left="851" w:leftChars="200" w:hanging="431"/>
        <w:rPr>
          <w:kern w:val="0"/>
          <w:szCs w:val="21"/>
        </w:rPr>
      </w:pPr>
      <w:r>
        <w:rPr>
          <w:kern w:val="0"/>
          <w:szCs w:val="21"/>
        </w:rPr>
        <w:t>使用以下</w:t>
      </w:r>
      <w:r>
        <w:rPr>
          <w:rFonts w:hint="eastAsia"/>
          <w:kern w:val="0"/>
          <w:szCs w:val="21"/>
          <w:lang w:val="en-US" w:eastAsia="zh-CN"/>
        </w:rPr>
        <w:t>仪器</w:t>
      </w:r>
      <w:r>
        <w:rPr>
          <w:kern w:val="0"/>
          <w:szCs w:val="21"/>
        </w:rPr>
        <w:t>进行分析：</w:t>
      </w:r>
    </w:p>
    <w:p>
      <w:pPr>
        <w:ind w:left="851" w:leftChars="200" w:hanging="431"/>
        <w:rPr>
          <w:color w:val="000000"/>
          <w:kern w:val="0"/>
          <w:szCs w:val="21"/>
          <w:lang w:bidi="en-US"/>
        </w:rPr>
      </w:pPr>
      <w:r>
        <w:rPr>
          <w:kern w:val="0"/>
          <w:szCs w:val="21"/>
        </w:rPr>
        <w:t>a）</w:t>
      </w:r>
      <w:r>
        <w:rPr>
          <w:kern w:val="0"/>
          <w:szCs w:val="21"/>
        </w:rPr>
        <w:tab/>
      </w:r>
      <w:r>
        <w:rPr>
          <w:color w:val="000000"/>
          <w:kern w:val="0"/>
          <w:szCs w:val="21"/>
          <w:lang w:bidi="en-US"/>
        </w:rPr>
        <w:t>分析天平，精确</w:t>
      </w:r>
      <w:r>
        <w:rPr>
          <w:rFonts w:hint="eastAsia"/>
          <w:color w:val="000000"/>
          <w:kern w:val="0"/>
          <w:szCs w:val="21"/>
          <w:lang w:val="en-US" w:eastAsia="zh-CN" w:bidi="en-US"/>
        </w:rPr>
        <w:t>至</w:t>
      </w:r>
      <w:r>
        <w:rPr>
          <w:color w:val="000000"/>
          <w:kern w:val="0"/>
          <w:szCs w:val="21"/>
          <w:lang w:bidi="en-US"/>
        </w:rPr>
        <w:t>0.000 1 g的；</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rFonts w:hint="eastAsia"/>
          <w:color w:val="000000"/>
          <w:kern w:val="0"/>
          <w:szCs w:val="21"/>
          <w:lang w:eastAsia="zh-CN" w:bidi="en-US"/>
        </w:rPr>
        <w:t>容量瓶</w:t>
      </w:r>
      <w:r>
        <w:rPr>
          <w:color w:val="000000"/>
          <w:kern w:val="0"/>
          <w:szCs w:val="21"/>
          <w:lang w:bidi="en-US"/>
        </w:rPr>
        <w:t>，</w:t>
      </w:r>
      <w:r>
        <w:rPr>
          <w:rFonts w:hint="eastAsia"/>
          <w:color w:val="000000"/>
          <w:kern w:val="0"/>
          <w:szCs w:val="21"/>
          <w:lang w:val="en-US" w:eastAsia="zh-CN" w:bidi="en-US"/>
        </w:rPr>
        <w:t>容量为</w:t>
      </w:r>
      <w:r>
        <w:rPr>
          <w:color w:val="000000"/>
          <w:kern w:val="0"/>
          <w:szCs w:val="21"/>
          <w:lang w:bidi="en-US"/>
        </w:rPr>
        <w:t>10</w:t>
      </w:r>
      <w:r>
        <w:rPr>
          <w:rFonts w:hint="eastAsia"/>
          <w:color w:val="000000"/>
          <w:kern w:val="0"/>
          <w:szCs w:val="21"/>
          <w:lang w:eastAsia="zh-CN" w:bidi="en-US"/>
        </w:rPr>
        <w:t xml:space="preserve"> mL</w:t>
      </w:r>
      <w:r>
        <w:rPr>
          <w:color w:val="000000"/>
          <w:kern w:val="0"/>
          <w:szCs w:val="21"/>
          <w:lang w:bidi="en-US"/>
        </w:rPr>
        <w:t>、20</w:t>
      </w:r>
      <w:r>
        <w:rPr>
          <w:rFonts w:hint="eastAsia"/>
          <w:color w:val="000000"/>
          <w:kern w:val="0"/>
          <w:szCs w:val="21"/>
          <w:lang w:eastAsia="zh-CN" w:bidi="en-US"/>
        </w:rPr>
        <w:t xml:space="preserve"> mL</w:t>
      </w:r>
      <w:r>
        <w:rPr>
          <w:color w:val="000000"/>
          <w:kern w:val="0"/>
          <w:szCs w:val="21"/>
          <w:lang w:bidi="en-US"/>
        </w:rPr>
        <w:t>、500</w:t>
      </w:r>
      <w:r>
        <w:rPr>
          <w:rFonts w:hint="eastAsia"/>
          <w:color w:val="000000"/>
          <w:kern w:val="0"/>
          <w:szCs w:val="21"/>
          <w:lang w:eastAsia="zh-CN" w:bidi="en-US"/>
        </w:rPr>
        <w:t xml:space="preserve"> mL</w:t>
      </w:r>
      <w:r>
        <w:rPr>
          <w:rFonts w:hint="eastAsia"/>
          <w:color w:val="000000"/>
          <w:kern w:val="0"/>
          <w:szCs w:val="21"/>
          <w:lang w:val="en-US" w:eastAsia="zh-CN" w:bidi="en-US"/>
        </w:rPr>
        <w:t>和</w:t>
      </w:r>
      <w:r>
        <w:rPr>
          <w:color w:val="000000"/>
          <w:kern w:val="0"/>
          <w:szCs w:val="21"/>
          <w:lang w:bidi="en-US"/>
        </w:rPr>
        <w:t>1 000</w:t>
      </w:r>
      <w:r>
        <w:rPr>
          <w:rFonts w:hint="eastAsia"/>
          <w:color w:val="000000"/>
          <w:kern w:val="0"/>
          <w:szCs w:val="21"/>
          <w:lang w:eastAsia="zh-CN" w:bidi="en-US"/>
        </w:rPr>
        <w:t xml:space="preserve"> mL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索氏装置，200</w:t>
      </w:r>
      <w:r>
        <w:rPr>
          <w:rFonts w:hint="eastAsia"/>
          <w:color w:val="000000"/>
          <w:kern w:val="0"/>
          <w:szCs w:val="21"/>
          <w:lang w:eastAsia="zh-CN" w:bidi="en-US"/>
        </w:rPr>
        <w:t xml:space="preserve"> mL</w:t>
      </w:r>
      <w:r>
        <w:rPr>
          <w:color w:val="000000"/>
          <w:kern w:val="0"/>
          <w:szCs w:val="21"/>
          <w:lang w:bidi="en-US"/>
        </w:rPr>
        <w:t>或容积适当的索氏提取器；</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提取套管；</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加热套；</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漏斗（非塑料）；</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color w:val="000000"/>
          <w:kern w:val="0"/>
          <w:szCs w:val="21"/>
          <w:lang w:bidi="en-US"/>
        </w:rPr>
        <w:t>铝箔；</w:t>
      </w:r>
    </w:p>
    <w:p>
      <w:pPr>
        <w:ind w:left="851" w:leftChars="200" w:hanging="431"/>
        <w:rPr>
          <w:color w:val="000000"/>
          <w:kern w:val="0"/>
          <w:szCs w:val="21"/>
          <w:lang w:bidi="en-US"/>
        </w:rPr>
      </w:pPr>
      <w:r>
        <w:rPr>
          <w:color w:val="000000"/>
          <w:kern w:val="0"/>
          <w:szCs w:val="21"/>
          <w:lang w:bidi="en-US"/>
        </w:rPr>
        <w:t>h）</w:t>
      </w:r>
      <w:r>
        <w:rPr>
          <w:color w:val="000000"/>
          <w:kern w:val="0"/>
          <w:szCs w:val="21"/>
          <w:lang w:bidi="en-US"/>
        </w:rPr>
        <w:tab/>
      </w:r>
      <w:r>
        <w:rPr>
          <w:color w:val="000000"/>
          <w:kern w:val="0"/>
          <w:szCs w:val="21"/>
          <w:lang w:bidi="en-US"/>
        </w:rPr>
        <w:t>超声波清洗器；</w:t>
      </w:r>
    </w:p>
    <w:p>
      <w:pPr>
        <w:ind w:left="851" w:leftChars="200" w:hanging="431"/>
        <w:rPr>
          <w:color w:val="000000"/>
          <w:kern w:val="0"/>
          <w:szCs w:val="21"/>
          <w:lang w:bidi="en-US"/>
        </w:rPr>
      </w:pPr>
      <w:r>
        <w:rPr>
          <w:color w:val="000000"/>
          <w:kern w:val="0"/>
          <w:szCs w:val="21"/>
          <w:lang w:bidi="en-US"/>
        </w:rPr>
        <w:t>i）</w:t>
      </w:r>
      <w:r>
        <w:rPr>
          <w:color w:val="000000"/>
          <w:kern w:val="0"/>
          <w:szCs w:val="21"/>
          <w:lang w:bidi="en-US"/>
        </w:rPr>
        <w:tab/>
      </w:r>
      <w:r>
        <w:rPr>
          <w:color w:val="000000"/>
          <w:kern w:val="0"/>
          <w:szCs w:val="21"/>
          <w:lang w:bidi="en-US"/>
        </w:rPr>
        <w:t>巴斯德吸管；</w:t>
      </w:r>
    </w:p>
    <w:p>
      <w:pPr>
        <w:ind w:left="851" w:leftChars="200" w:hanging="431"/>
        <w:rPr>
          <w:color w:val="000000"/>
          <w:kern w:val="0"/>
          <w:szCs w:val="21"/>
          <w:lang w:bidi="en-US"/>
        </w:rPr>
      </w:pPr>
      <w:r>
        <w:rPr>
          <w:color w:val="000000"/>
          <w:kern w:val="0"/>
          <w:szCs w:val="21"/>
          <w:lang w:bidi="en-US"/>
        </w:rPr>
        <w:t>j）</w:t>
      </w:r>
      <w:r>
        <w:rPr>
          <w:color w:val="000000"/>
          <w:kern w:val="0"/>
          <w:szCs w:val="21"/>
          <w:lang w:bidi="en-US"/>
        </w:rPr>
        <w:tab/>
      </w:r>
      <w:r>
        <w:rPr>
          <w:color w:val="000000"/>
          <w:kern w:val="0"/>
          <w:szCs w:val="21"/>
          <w:lang w:bidi="en-US"/>
        </w:rPr>
        <w:t>玻璃棉；</w:t>
      </w:r>
    </w:p>
    <w:p>
      <w:pPr>
        <w:ind w:left="851" w:leftChars="200" w:hanging="431"/>
        <w:rPr>
          <w:color w:val="000000"/>
          <w:kern w:val="0"/>
          <w:szCs w:val="21"/>
          <w:lang w:bidi="en-US"/>
        </w:rPr>
      </w:pPr>
      <w:r>
        <w:rPr>
          <w:color w:val="000000"/>
          <w:kern w:val="0"/>
          <w:szCs w:val="21"/>
          <w:lang w:bidi="en-US"/>
        </w:rPr>
        <w:t>k）</w:t>
      </w:r>
      <w:r>
        <w:rPr>
          <w:color w:val="000000"/>
          <w:kern w:val="0"/>
          <w:szCs w:val="21"/>
          <w:lang w:bidi="en-US"/>
        </w:rPr>
        <w:tab/>
      </w:r>
      <w:r>
        <w:rPr>
          <w:color w:val="000000"/>
          <w:kern w:val="0"/>
          <w:szCs w:val="21"/>
          <w:lang w:bidi="en-US"/>
        </w:rPr>
        <w:t>1.5</w:t>
      </w:r>
      <w:r>
        <w:rPr>
          <w:rFonts w:hint="eastAsia"/>
          <w:color w:val="000000"/>
          <w:kern w:val="0"/>
          <w:szCs w:val="21"/>
          <w:lang w:eastAsia="zh-CN" w:bidi="en-US"/>
        </w:rPr>
        <w:t xml:space="preserve"> mL</w:t>
      </w:r>
      <w:r>
        <w:rPr>
          <w:color w:val="000000"/>
          <w:kern w:val="0"/>
          <w:szCs w:val="21"/>
          <w:lang w:bidi="en-US"/>
        </w:rPr>
        <w:t>样品瓶，配100</w:t>
      </w:r>
      <w:r>
        <w:rPr>
          <w:rFonts w:hint="eastAsia"/>
          <w:color w:val="000000"/>
          <w:kern w:val="0"/>
          <w:szCs w:val="21"/>
          <w:lang w:val="en-US" w:eastAsia="zh-CN" w:bidi="en-US"/>
        </w:rPr>
        <w:t xml:space="preserve"> </w:t>
      </w:r>
      <w:r>
        <w:rPr>
          <w:color w:val="000000"/>
          <w:kern w:val="0"/>
          <w:szCs w:val="21"/>
          <w:lang w:bidi="en-US"/>
        </w:rPr>
        <w:t>μ</w:t>
      </w:r>
      <w:r>
        <w:rPr>
          <w:rFonts w:hint="eastAsia"/>
          <w:color w:val="000000"/>
          <w:kern w:val="0"/>
          <w:szCs w:val="21"/>
          <w:lang w:eastAsia="zh-CN" w:bidi="en-US"/>
        </w:rPr>
        <w:t>L</w:t>
      </w:r>
      <w:r>
        <w:rPr>
          <w:color w:val="000000"/>
          <w:kern w:val="0"/>
          <w:szCs w:val="21"/>
          <w:lang w:bidi="en-US"/>
        </w:rPr>
        <w:t>玻璃</w:t>
      </w:r>
      <w:r>
        <w:rPr>
          <w:rFonts w:hint="eastAsia"/>
          <w:color w:val="000000"/>
          <w:kern w:val="0"/>
          <w:szCs w:val="21"/>
          <w:lang w:bidi="en-US"/>
        </w:rPr>
        <w:t>内</w:t>
      </w:r>
      <w:r>
        <w:rPr>
          <w:rFonts w:hint="eastAsia"/>
          <w:color w:val="000000"/>
          <w:kern w:val="0"/>
          <w:szCs w:val="21"/>
          <w:lang w:val="en-US" w:eastAsia="zh-CN" w:bidi="en-US"/>
        </w:rPr>
        <w:t>衬</w:t>
      </w:r>
      <w:r>
        <w:rPr>
          <w:rFonts w:hint="eastAsia"/>
          <w:color w:val="000000"/>
          <w:kern w:val="0"/>
          <w:szCs w:val="21"/>
          <w:lang w:bidi="en-US"/>
        </w:rPr>
        <w:t>管</w:t>
      </w:r>
      <w:r>
        <w:rPr>
          <w:color w:val="000000"/>
          <w:kern w:val="0"/>
          <w:szCs w:val="21"/>
          <w:lang w:bidi="en-US"/>
        </w:rPr>
        <w:t>和带聚四氟乙烯（PTFE）垫圈的旋盖，或根据分析系统配类似样品容器；</w:t>
      </w:r>
    </w:p>
    <w:p>
      <w:pPr>
        <w:ind w:left="851" w:leftChars="200" w:hanging="431"/>
        <w:rPr>
          <w:color w:val="000000"/>
          <w:kern w:val="0"/>
          <w:szCs w:val="21"/>
          <w:lang w:bidi="en-US"/>
        </w:rPr>
      </w:pPr>
      <w:r>
        <w:rPr>
          <w:color w:val="000000"/>
          <w:kern w:val="0"/>
          <w:szCs w:val="21"/>
          <w:lang w:bidi="en-US"/>
        </w:rPr>
        <w:t>l）</w:t>
      </w:r>
      <w:r>
        <w:rPr>
          <w:color w:val="000000"/>
          <w:kern w:val="0"/>
          <w:szCs w:val="21"/>
          <w:lang w:bidi="en-US"/>
        </w:rPr>
        <w:tab/>
      </w:r>
      <w:r>
        <w:rPr>
          <w:rFonts w:hint="eastAsia"/>
          <w:color w:val="000000"/>
          <w:kern w:val="0"/>
          <w:szCs w:val="21"/>
          <w:lang w:eastAsia="zh-CN" w:bidi="en-US"/>
        </w:rPr>
        <w:t>高效</w:t>
      </w:r>
      <w:r>
        <w:rPr>
          <w:color w:val="000000"/>
          <w:kern w:val="0"/>
          <w:szCs w:val="21"/>
          <w:lang w:bidi="en-US"/>
        </w:rPr>
        <w:t>液相色谱（HPLC）系统</w:t>
      </w:r>
      <w:r>
        <w:rPr>
          <w:rFonts w:hint="eastAsia"/>
          <w:color w:val="000000"/>
          <w:kern w:val="0"/>
          <w:szCs w:val="21"/>
          <w:lang w:eastAsia="zh-CN" w:bidi="en-US"/>
        </w:rPr>
        <w:t>，</w:t>
      </w:r>
      <w:r>
        <w:rPr>
          <w:color w:val="000000"/>
          <w:kern w:val="0"/>
          <w:szCs w:val="21"/>
          <w:lang w:bidi="en-US"/>
        </w:rPr>
        <w:t>配备质谱检测器；</w:t>
      </w:r>
    </w:p>
    <w:p>
      <w:pPr>
        <w:ind w:left="851" w:leftChars="200" w:hanging="431"/>
        <w:rPr>
          <w:color w:val="000000"/>
          <w:kern w:val="0"/>
          <w:szCs w:val="21"/>
          <w:lang w:bidi="en-US"/>
        </w:rPr>
      </w:pPr>
      <w:r>
        <w:rPr>
          <w:color w:val="000000"/>
          <w:kern w:val="0"/>
          <w:szCs w:val="21"/>
          <w:lang w:bidi="en-US"/>
        </w:rPr>
        <w:t>m）</w:t>
      </w:r>
      <w:r>
        <w:rPr>
          <w:color w:val="000000"/>
          <w:kern w:val="0"/>
          <w:szCs w:val="21"/>
          <w:lang w:bidi="en-US"/>
        </w:rPr>
        <w:tab/>
      </w:r>
      <w:r>
        <w:rPr>
          <w:color w:val="000000"/>
          <w:kern w:val="0"/>
          <w:szCs w:val="21"/>
          <w:lang w:bidi="en-US"/>
        </w:rPr>
        <w:t>固定相：C18，150 mm x 4.6 mm内径，5μ</w:t>
      </w:r>
      <w:r>
        <w:rPr>
          <w:rFonts w:hint="eastAsia"/>
          <w:color w:val="000000"/>
          <w:kern w:val="0"/>
          <w:szCs w:val="21"/>
          <w:lang w:eastAsia="zh-CN" w:bidi="en-US"/>
        </w:rPr>
        <w:t>m</w:t>
      </w:r>
      <w:r>
        <w:rPr>
          <w:color w:val="000000"/>
          <w:kern w:val="0"/>
          <w:szCs w:val="21"/>
          <w:lang w:bidi="en-US"/>
        </w:rPr>
        <w:t>，或同等规格；</w:t>
      </w:r>
    </w:p>
    <w:p>
      <w:pPr>
        <w:ind w:left="851" w:leftChars="200" w:hanging="431"/>
        <w:rPr>
          <w:color w:val="000000"/>
          <w:kern w:val="0"/>
          <w:szCs w:val="21"/>
          <w:lang w:bidi="en-US"/>
        </w:rPr>
      </w:pPr>
      <w:r>
        <w:rPr>
          <w:color w:val="000000"/>
          <w:kern w:val="0"/>
          <w:szCs w:val="21"/>
          <w:highlight w:val="none"/>
          <w:lang w:bidi="en-US"/>
        </w:rPr>
        <w:t>n）</w:t>
      </w:r>
      <w:r>
        <w:rPr>
          <w:color w:val="000000"/>
          <w:kern w:val="0"/>
          <w:szCs w:val="21"/>
          <w:highlight w:val="none"/>
          <w:lang w:bidi="en-US"/>
        </w:rPr>
        <w:tab/>
      </w:r>
      <w:r>
        <w:rPr>
          <w:color w:val="000000"/>
          <w:kern w:val="0"/>
          <w:szCs w:val="21"/>
          <w:lang w:bidi="en-US"/>
        </w:rPr>
        <w:t>过滤膜</w:t>
      </w:r>
      <w:r>
        <w:rPr>
          <w:rFonts w:hint="eastAsia"/>
          <w:color w:val="000000"/>
          <w:kern w:val="0"/>
          <w:szCs w:val="21"/>
          <w:lang w:eastAsia="zh-CN" w:bidi="en-US"/>
        </w:rPr>
        <w:t>，</w:t>
      </w:r>
      <w:r>
        <w:rPr>
          <w:color w:val="000000"/>
          <w:kern w:val="0"/>
          <w:szCs w:val="21"/>
          <w:lang w:bidi="en-US"/>
        </w:rPr>
        <w:t>PTFE</w:t>
      </w:r>
      <w:r>
        <w:rPr>
          <w:rFonts w:hint="eastAsia"/>
          <w:color w:val="000000"/>
          <w:kern w:val="0"/>
          <w:szCs w:val="21"/>
          <w:lang w:val="en-US" w:eastAsia="zh-CN" w:bidi="en-US"/>
        </w:rPr>
        <w:t>材质，滤膜孔径</w:t>
      </w:r>
      <w:r>
        <w:rPr>
          <w:color w:val="000000"/>
          <w:kern w:val="0"/>
          <w:szCs w:val="21"/>
          <w:highlight w:val="none"/>
          <w:lang w:bidi="en-US"/>
        </w:rPr>
        <w:t>0.45</w:t>
      </w:r>
      <w:r>
        <w:rPr>
          <w:rFonts w:hint="eastAsia"/>
          <w:color w:val="000000"/>
          <w:kern w:val="0"/>
          <w:szCs w:val="21"/>
          <w:highlight w:val="none"/>
          <w:lang w:val="en-US" w:eastAsia="zh-CN" w:bidi="en-US"/>
        </w:rPr>
        <w:t xml:space="preserve"> </w:t>
      </w:r>
      <w:r>
        <w:rPr>
          <w:color w:val="000000"/>
          <w:kern w:val="0"/>
          <w:szCs w:val="21"/>
          <w:highlight w:val="none"/>
          <w:lang w:bidi="en-US"/>
        </w:rPr>
        <w:t>μ</w:t>
      </w:r>
      <w:r>
        <w:rPr>
          <w:rFonts w:hint="eastAsia"/>
          <w:color w:val="000000"/>
          <w:kern w:val="0"/>
          <w:szCs w:val="21"/>
          <w:highlight w:val="none"/>
          <w:lang w:val="en-US" w:eastAsia="zh-CN" w:bidi="en-US"/>
        </w:rPr>
        <w:t>m</w:t>
      </w:r>
      <w:r>
        <w:rPr>
          <w:rFonts w:hint="eastAsia"/>
          <w:color w:val="000000"/>
          <w:kern w:val="0"/>
          <w:szCs w:val="21"/>
          <w:lang w:val="en-US" w:eastAsia="zh-CN" w:bidi="en-US"/>
        </w:rPr>
        <w:t xml:space="preserve"> </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o）</w:t>
      </w:r>
      <w:r>
        <w:rPr>
          <w:color w:val="000000"/>
          <w:kern w:val="0"/>
          <w:szCs w:val="21"/>
          <w:lang w:bidi="en-US"/>
        </w:rPr>
        <w:tab/>
      </w:r>
      <w:r>
        <w:rPr>
          <w:color w:val="000000"/>
          <w:kern w:val="0"/>
          <w:szCs w:val="21"/>
          <w:lang w:bidi="en-US"/>
        </w:rPr>
        <w:t>旋转蒸发器</w:t>
      </w:r>
      <w:r>
        <w:rPr>
          <w:rFonts w:hint="eastAsia"/>
          <w:color w:val="000000"/>
          <w:kern w:val="0"/>
          <w:szCs w:val="21"/>
          <w:lang w:eastAsia="zh-CN" w:bidi="en-US"/>
        </w:rPr>
        <w:t>，</w:t>
      </w:r>
      <w:r>
        <w:rPr>
          <w:color w:val="000000"/>
          <w:kern w:val="0"/>
          <w:szCs w:val="21"/>
          <w:lang w:bidi="en-US"/>
        </w:rPr>
        <w:t>配水浴槽；</w:t>
      </w:r>
    </w:p>
    <w:p>
      <w:pPr>
        <w:ind w:left="851" w:leftChars="200" w:hanging="431"/>
        <w:rPr>
          <w:color w:val="000000"/>
          <w:kern w:val="0"/>
          <w:szCs w:val="21"/>
          <w:lang w:bidi="en-US"/>
        </w:rPr>
      </w:pPr>
      <w:r>
        <w:rPr>
          <w:color w:val="000000"/>
          <w:kern w:val="0"/>
          <w:szCs w:val="21"/>
          <w:lang w:bidi="en-US"/>
        </w:rPr>
        <w:t>p）</w:t>
      </w:r>
      <w:r>
        <w:rPr>
          <w:color w:val="000000"/>
          <w:kern w:val="0"/>
          <w:szCs w:val="21"/>
          <w:lang w:bidi="en-US"/>
        </w:rPr>
        <w:tab/>
      </w:r>
      <w:r>
        <w:rPr>
          <w:rFonts w:hint="eastAsia"/>
          <w:color w:val="000000"/>
          <w:kern w:val="0"/>
          <w:szCs w:val="21"/>
          <w:highlight w:val="none"/>
          <w:lang w:val="en-US" w:eastAsia="zh-CN" w:bidi="en-US"/>
        </w:rPr>
        <w:t>研磨</w:t>
      </w:r>
      <w:r>
        <w:rPr>
          <w:color w:val="000000"/>
          <w:kern w:val="0"/>
          <w:szCs w:val="21"/>
          <w:highlight w:val="none"/>
          <w:lang w:bidi="en-US"/>
        </w:rPr>
        <w:t>设备；</w:t>
      </w:r>
    </w:p>
    <w:p>
      <w:pPr>
        <w:ind w:left="851" w:leftChars="200" w:hanging="431"/>
        <w:rPr>
          <w:color w:val="000000"/>
          <w:kern w:val="0"/>
          <w:szCs w:val="21"/>
          <w:lang w:bidi="en-US"/>
        </w:rPr>
      </w:pPr>
      <w:r>
        <w:rPr>
          <w:color w:val="000000"/>
          <w:kern w:val="0"/>
          <w:szCs w:val="21"/>
          <w:lang w:bidi="en-US"/>
        </w:rPr>
        <w:t>q）</w:t>
      </w:r>
      <w:r>
        <w:rPr>
          <w:color w:val="000000"/>
          <w:kern w:val="0"/>
          <w:szCs w:val="21"/>
          <w:lang w:bidi="en-US"/>
        </w:rPr>
        <w:tab/>
      </w:r>
      <w:r>
        <w:rPr>
          <w:color w:val="000000"/>
          <w:kern w:val="0"/>
          <w:szCs w:val="21"/>
          <w:lang w:bidi="en-US"/>
        </w:rPr>
        <w:t>膜滤器；</w:t>
      </w:r>
    </w:p>
    <w:p>
      <w:pPr>
        <w:ind w:left="851" w:leftChars="200" w:hanging="431"/>
        <w:rPr>
          <w:kern w:val="0"/>
          <w:szCs w:val="21"/>
        </w:rPr>
      </w:pPr>
      <w:r>
        <w:rPr>
          <w:kern w:val="0"/>
          <w:szCs w:val="21"/>
        </w:rPr>
        <w:t>r）</w:t>
      </w:r>
      <w:r>
        <w:rPr>
          <w:kern w:val="0"/>
          <w:szCs w:val="21"/>
        </w:rPr>
        <w:tab/>
      </w:r>
      <w:r>
        <w:rPr>
          <w:kern w:val="0"/>
          <w:szCs w:val="21"/>
        </w:rPr>
        <w:t>滤纸</w:t>
      </w:r>
      <w:r>
        <w:rPr>
          <w:rFonts w:hint="eastAsia"/>
          <w:kern w:val="0"/>
          <w:szCs w:val="21"/>
          <w:lang w:eastAsia="zh-CN"/>
        </w:rPr>
        <w:t>，</w:t>
      </w:r>
      <w:r>
        <w:rPr>
          <w:color w:val="000000"/>
          <w:kern w:val="0"/>
          <w:szCs w:val="21"/>
          <w:lang w:bidi="en-US"/>
        </w:rPr>
        <w:t>5A</w:t>
      </w:r>
      <w:r>
        <w:rPr>
          <w:kern w:val="0"/>
          <w:szCs w:val="21"/>
        </w:rPr>
        <w:t>号。</w:t>
      </w:r>
    </w:p>
    <w:p>
      <w:pPr>
        <w:pStyle w:val="47"/>
      </w:pPr>
      <w:r>
        <w:t xml:space="preserve">A.4 </w:t>
      </w:r>
      <w:r>
        <w:rPr>
          <w:rFonts w:hint="eastAsia"/>
          <w:lang w:val="en-US" w:eastAsia="zh-CN"/>
        </w:rPr>
        <w:t>制</w:t>
      </w:r>
      <w:r>
        <w:t>样</w:t>
      </w:r>
    </w:p>
    <w:p>
      <w:pPr>
        <w:ind w:firstLine="420" w:firstLineChars="200"/>
        <w:rPr>
          <w:kern w:val="0"/>
          <w:szCs w:val="21"/>
        </w:rPr>
      </w:pPr>
      <w:r>
        <w:rPr>
          <w:kern w:val="0"/>
          <w:szCs w:val="21"/>
        </w:rPr>
        <w:t>除非另有说明，</w:t>
      </w:r>
      <w:r>
        <w:rPr>
          <w:rFonts w:hint="eastAsia"/>
          <w:kern w:val="0"/>
          <w:szCs w:val="21"/>
          <w:lang w:val="en-US" w:eastAsia="zh-CN"/>
        </w:rPr>
        <w:t>否则应</w:t>
      </w:r>
      <w:r>
        <w:rPr>
          <w:rFonts w:hint="eastAsia"/>
          <w:kern w:val="0"/>
          <w:szCs w:val="21"/>
          <w:highlight w:val="none"/>
          <w:lang w:val="en-US" w:eastAsia="zh-CN"/>
        </w:rPr>
        <w:t>按</w:t>
      </w:r>
      <w:r>
        <w:rPr>
          <w:rFonts w:hint="eastAsia"/>
          <w:szCs w:val="21"/>
          <w:highlight w:val="none"/>
          <w:lang w:val="en-US" w:eastAsia="zh-CN"/>
        </w:rPr>
        <w:t>GB/T 39560.2</w:t>
      </w:r>
      <w:r>
        <w:rPr>
          <w:kern w:val="0"/>
          <w:szCs w:val="21"/>
          <w:highlight w:val="none"/>
        </w:rPr>
        <w:t>所</w:t>
      </w:r>
      <w:r>
        <w:rPr>
          <w:kern w:val="0"/>
          <w:szCs w:val="21"/>
        </w:rPr>
        <w:t>述，</w:t>
      </w:r>
      <w:r>
        <w:rPr>
          <w:rFonts w:hint="eastAsia"/>
          <w:kern w:val="0"/>
          <w:szCs w:val="21"/>
          <w:lang w:val="en-US" w:eastAsia="zh-CN"/>
        </w:rPr>
        <w:t>执行以下程序：</w:t>
      </w:r>
    </w:p>
    <w:p>
      <w:pPr>
        <w:numPr>
          <w:ilvl w:val="0"/>
          <w:numId w:val="18"/>
        </w:numPr>
        <w:ind w:left="851" w:leftChars="200" w:hanging="431"/>
        <w:rPr>
          <w:color w:val="000000"/>
          <w:kern w:val="0"/>
          <w:szCs w:val="21"/>
          <w:lang w:bidi="en-US"/>
        </w:rPr>
      </w:pPr>
      <w:r>
        <w:rPr>
          <w:color w:val="000000"/>
          <w:kern w:val="0"/>
          <w:szCs w:val="21"/>
          <w:lang w:bidi="en-US"/>
        </w:rPr>
        <w:t>将样品</w:t>
      </w:r>
      <w:r>
        <w:rPr>
          <w:rFonts w:hint="eastAsia"/>
          <w:color w:val="000000"/>
          <w:kern w:val="0"/>
          <w:szCs w:val="21"/>
          <w:lang w:bidi="en-US"/>
        </w:rPr>
        <w:t>破碎</w:t>
      </w:r>
      <w:r>
        <w:rPr>
          <w:color w:val="000000"/>
          <w:kern w:val="0"/>
          <w:szCs w:val="21"/>
          <w:lang w:bidi="en-US"/>
        </w:rPr>
        <w:t>成大约2</w:t>
      </w:r>
      <w:r>
        <w:rPr>
          <w:rFonts w:hint="eastAsia"/>
          <w:color w:val="000000"/>
          <w:kern w:val="0"/>
          <w:szCs w:val="21"/>
          <w:lang w:val="en-US" w:eastAsia="zh-CN" w:bidi="en-US"/>
        </w:rPr>
        <w:t xml:space="preserve"> </w:t>
      </w:r>
      <w:r>
        <w:rPr>
          <w:color w:val="000000"/>
          <w:kern w:val="0"/>
          <w:szCs w:val="21"/>
          <w:lang w:bidi="en-US"/>
        </w:rPr>
        <w:t>mm x 2</w:t>
      </w:r>
      <w:r>
        <w:rPr>
          <w:rFonts w:hint="eastAsia"/>
          <w:color w:val="000000"/>
          <w:kern w:val="0"/>
          <w:szCs w:val="21"/>
          <w:lang w:val="en-US" w:eastAsia="zh-CN" w:bidi="en-US"/>
        </w:rPr>
        <w:t xml:space="preserve"> </w:t>
      </w:r>
      <w:r>
        <w:rPr>
          <w:color w:val="000000"/>
          <w:kern w:val="0"/>
          <w:szCs w:val="21"/>
          <w:lang w:bidi="en-US"/>
        </w:rPr>
        <w:t>mm的大小，然后充分混合。</w:t>
      </w:r>
    </w:p>
    <w:p>
      <w:pPr>
        <w:numPr>
          <w:ilvl w:val="0"/>
          <w:numId w:val="18"/>
        </w:numPr>
        <w:ind w:left="851" w:leftChars="200" w:hanging="431"/>
        <w:rPr>
          <w:color w:val="000000"/>
          <w:kern w:val="0"/>
          <w:szCs w:val="21"/>
          <w:lang w:bidi="en-US"/>
        </w:rPr>
      </w:pPr>
      <w:r>
        <w:rPr>
          <w:rFonts w:hint="eastAsia"/>
          <w:color w:val="000000"/>
          <w:kern w:val="0"/>
          <w:szCs w:val="21"/>
          <w:lang w:bidi="en-US"/>
        </w:rPr>
        <w:t>对难以溶解的聚合物执行替代性超声溶解步骤时，</w:t>
      </w:r>
      <w:r>
        <w:rPr>
          <w:rFonts w:hint="eastAsia"/>
          <w:color w:val="000000"/>
          <w:kern w:val="0"/>
          <w:szCs w:val="21"/>
          <w:lang w:val="en-US" w:eastAsia="zh-CN" w:bidi="en-US"/>
        </w:rPr>
        <w:t>应</w:t>
      </w:r>
      <w:r>
        <w:rPr>
          <w:rFonts w:hint="eastAsia"/>
          <w:color w:val="000000"/>
          <w:kern w:val="0"/>
          <w:szCs w:val="21"/>
          <w:lang w:bidi="en-US"/>
        </w:rPr>
        <w:t>使用液氮冷冻研磨</w:t>
      </w:r>
      <w:r>
        <w:rPr>
          <w:rFonts w:hint="eastAsia"/>
          <w:color w:val="000000"/>
          <w:kern w:val="0"/>
          <w:szCs w:val="21"/>
          <w:lang w:val="en-US" w:eastAsia="zh-CN" w:bidi="en-US"/>
        </w:rPr>
        <w:t>并</w:t>
      </w:r>
      <w:r>
        <w:rPr>
          <w:rFonts w:hint="eastAsia"/>
          <w:color w:val="000000"/>
          <w:kern w:val="0"/>
          <w:szCs w:val="21"/>
          <w:lang w:bidi="en-US"/>
        </w:rPr>
        <w:t xml:space="preserve">过500 </w:t>
      </w:r>
      <w:r>
        <w:rPr>
          <w:color w:val="000000"/>
          <w:kern w:val="0"/>
          <w:szCs w:val="21"/>
          <w:highlight w:val="none"/>
          <w:lang w:bidi="en-US"/>
        </w:rPr>
        <w:t>μ</w:t>
      </w:r>
      <w:r>
        <w:rPr>
          <w:rFonts w:hint="eastAsia"/>
          <w:color w:val="000000"/>
          <w:kern w:val="0"/>
          <w:szCs w:val="21"/>
          <w:highlight w:val="none"/>
          <w:lang w:val="en-US" w:eastAsia="zh-CN" w:bidi="en-US"/>
        </w:rPr>
        <w:t>m</w:t>
      </w:r>
      <w:r>
        <w:rPr>
          <w:rFonts w:hint="eastAsia"/>
          <w:color w:val="000000"/>
          <w:kern w:val="0"/>
          <w:szCs w:val="21"/>
          <w:lang w:bidi="en-US"/>
        </w:rPr>
        <w:t>的筛子。</w:t>
      </w:r>
    </w:p>
    <w:p>
      <w:pPr>
        <w:ind w:firstLine="360" w:firstLineChars="200"/>
        <w:rPr>
          <w:kern w:val="0"/>
          <w:sz w:val="18"/>
          <w:szCs w:val="18"/>
        </w:rPr>
      </w:pPr>
      <w:r>
        <w:rPr>
          <w:rFonts w:hint="eastAsia" w:ascii="黑体" w:hAnsi="黑体" w:eastAsia="黑体" w:cs="黑体"/>
          <w:kern w:val="0"/>
          <w:sz w:val="18"/>
          <w:szCs w:val="18"/>
        </w:rPr>
        <w:t>注：</w:t>
      </w:r>
      <w:r>
        <w:rPr>
          <w:rFonts w:hint="eastAsia" w:eastAsia="黑体"/>
          <w:kern w:val="0"/>
          <w:sz w:val="18"/>
          <w:szCs w:val="18"/>
          <w:highlight w:val="none"/>
          <w:lang w:val="en-US" w:eastAsia="zh-CN"/>
        </w:rPr>
        <w:t>制</w:t>
      </w:r>
      <w:r>
        <w:rPr>
          <w:kern w:val="0"/>
          <w:sz w:val="18"/>
          <w:szCs w:val="18"/>
          <w:highlight w:val="none"/>
        </w:rPr>
        <w:t>样时避免</w:t>
      </w:r>
      <w:r>
        <w:rPr>
          <w:rFonts w:hint="eastAsia"/>
          <w:kern w:val="0"/>
          <w:sz w:val="18"/>
          <w:szCs w:val="18"/>
          <w:highlight w:val="none"/>
          <w:lang w:val="en-US" w:eastAsia="zh-CN"/>
        </w:rPr>
        <w:t>样品</w:t>
      </w:r>
      <w:r>
        <w:rPr>
          <w:kern w:val="0"/>
          <w:sz w:val="18"/>
          <w:szCs w:val="18"/>
          <w:highlight w:val="none"/>
        </w:rPr>
        <w:t>与聚合物材料</w:t>
      </w:r>
      <w:r>
        <w:rPr>
          <w:rFonts w:hint="eastAsia"/>
          <w:kern w:val="0"/>
          <w:sz w:val="18"/>
          <w:szCs w:val="18"/>
          <w:highlight w:val="none"/>
          <w:lang w:val="en-US" w:eastAsia="zh-CN"/>
        </w:rPr>
        <w:t>(器皿或工具)</w:t>
      </w:r>
      <w:r>
        <w:rPr>
          <w:kern w:val="0"/>
          <w:sz w:val="18"/>
          <w:szCs w:val="18"/>
          <w:highlight w:val="none"/>
        </w:rPr>
        <w:t>接触。</w:t>
      </w:r>
    </w:p>
    <w:p>
      <w:pPr>
        <w:pStyle w:val="47"/>
      </w:pPr>
      <w:r>
        <w:t>A.5 程序</w:t>
      </w:r>
    </w:p>
    <w:p>
      <w:pPr>
        <w:pStyle w:val="47"/>
        <w:rPr>
          <w:rFonts w:hint="eastAsia" w:eastAsia="黑体"/>
          <w:lang w:val="en-US" w:eastAsia="zh-CN"/>
        </w:rPr>
      </w:pPr>
      <w:bookmarkStart w:id="32" w:name="bookmark26"/>
      <w:r>
        <w:t xml:space="preserve">A.5.1 </w:t>
      </w:r>
      <w:bookmarkEnd w:id="32"/>
      <w:r>
        <w:rPr>
          <w:rFonts w:hint="eastAsia"/>
          <w:lang w:eastAsia="zh-CN"/>
        </w:rPr>
        <w:t>总述</w:t>
      </w:r>
    </w:p>
    <w:p>
      <w:pPr>
        <w:ind w:firstLine="420" w:firstLineChars="200"/>
        <w:rPr>
          <w:kern w:val="0"/>
          <w:szCs w:val="21"/>
        </w:rPr>
      </w:pPr>
      <w:r>
        <w:rPr>
          <w:kern w:val="0"/>
          <w:szCs w:val="21"/>
        </w:rPr>
        <w:t>应遵循以下一般说明:</w:t>
      </w:r>
    </w:p>
    <w:p>
      <w:pPr>
        <w:ind w:left="851" w:leftChars="200" w:hanging="431"/>
        <w:rPr>
          <w:color w:val="000000"/>
          <w:kern w:val="0"/>
          <w:szCs w:val="21"/>
          <w:lang w:bidi="en-US"/>
        </w:rPr>
      </w:pPr>
      <w:r>
        <w:rPr>
          <w:color w:val="000000"/>
          <w:kern w:val="0"/>
          <w:szCs w:val="21"/>
          <w:lang w:bidi="en-US"/>
        </w:rPr>
        <w:t>a）</w:t>
      </w:r>
      <w:r>
        <w:rPr>
          <w:color w:val="000000"/>
          <w:kern w:val="0"/>
          <w:szCs w:val="21"/>
          <w:lang w:bidi="en-US"/>
        </w:rPr>
        <w:tab/>
      </w:r>
      <w:r>
        <w:rPr>
          <w:color w:val="000000"/>
          <w:kern w:val="0"/>
          <w:szCs w:val="21"/>
          <w:lang w:bidi="en-US"/>
        </w:rPr>
        <w:t>将色谱图中的峰值保留时间和质谱与参考标准品数据库条目进行比较，对HBCDD异构体</w:t>
      </w:r>
      <w:r>
        <w:rPr>
          <w:rFonts w:hint="eastAsia"/>
          <w:color w:val="000000"/>
          <w:kern w:val="0"/>
          <w:szCs w:val="21"/>
          <w:lang w:val="en-US" w:eastAsia="zh-CN" w:bidi="en-US"/>
        </w:rPr>
        <w:t>进行</w:t>
      </w:r>
      <w:r>
        <w:rPr>
          <w:color w:val="000000"/>
          <w:kern w:val="0"/>
          <w:szCs w:val="21"/>
          <w:lang w:bidi="en-US"/>
        </w:rPr>
        <w:t>定性测定。</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求得所有</w:t>
      </w:r>
      <w:r>
        <w:rPr>
          <w:rFonts w:hint="eastAsia"/>
          <w:color w:val="000000"/>
          <w:kern w:val="0"/>
          <w:szCs w:val="21"/>
          <w:lang w:eastAsia="zh-CN" w:bidi="en-US"/>
        </w:rPr>
        <w:t>异构体</w:t>
      </w:r>
      <w:r>
        <w:rPr>
          <w:color w:val="000000"/>
          <w:kern w:val="0"/>
          <w:szCs w:val="21"/>
          <w:lang w:bidi="en-US"/>
        </w:rPr>
        <w:t>峰面积之和</w:t>
      </w:r>
      <w:r>
        <w:rPr>
          <w:rFonts w:hint="eastAsia"/>
          <w:color w:val="000000"/>
          <w:kern w:val="0"/>
          <w:szCs w:val="21"/>
          <w:lang w:eastAsia="zh-CN" w:bidi="en-US"/>
        </w:rPr>
        <w:t>进行</w:t>
      </w:r>
      <w:r>
        <w:rPr>
          <w:color w:val="000000"/>
          <w:kern w:val="0"/>
          <w:szCs w:val="21"/>
          <w:lang w:bidi="en-US"/>
        </w:rPr>
        <w:t>定量测</w:t>
      </w:r>
      <w:r>
        <w:rPr>
          <w:color w:val="000000"/>
          <w:kern w:val="0"/>
          <w:szCs w:val="21"/>
          <w:highlight w:val="none"/>
          <w:lang w:bidi="en-US"/>
        </w:rPr>
        <w:t>定（</w:t>
      </w:r>
      <w:r>
        <w:rPr>
          <w:rFonts w:hint="eastAsia"/>
          <w:color w:val="000000"/>
          <w:kern w:val="0"/>
          <w:szCs w:val="21"/>
          <w:highlight w:val="none"/>
          <w:lang w:eastAsia="zh-CN" w:bidi="en-US"/>
        </w:rPr>
        <w:t>定量</w:t>
      </w:r>
      <w:r>
        <w:rPr>
          <w:color w:val="000000"/>
          <w:kern w:val="0"/>
          <w:szCs w:val="21"/>
          <w:highlight w:val="none"/>
          <w:lang w:bidi="en-US"/>
        </w:rPr>
        <w:t>单位</w:t>
      </w:r>
      <w:r>
        <w:rPr>
          <w:rFonts w:hint="eastAsia"/>
          <w:color w:val="000000"/>
          <w:kern w:val="0"/>
          <w:szCs w:val="21"/>
          <w:highlight w:val="none"/>
          <w:lang w:eastAsia="zh-CN" w:bidi="en-US"/>
        </w:rPr>
        <w:t>为</w:t>
      </w:r>
      <w:r>
        <w:rPr>
          <w:color w:val="000000"/>
          <w:kern w:val="0"/>
          <w:szCs w:val="21"/>
          <w:highlight w:val="none"/>
          <w:lang w:bidi="en-US"/>
        </w:rPr>
        <w:t>mg/kg）。</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制备样品时需要使用干净的玻璃器皿（例如一次性用品），避免交叉污染。</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rFonts w:hint="eastAsia"/>
          <w:color w:val="000000"/>
          <w:kern w:val="0"/>
          <w:szCs w:val="21"/>
          <w:lang w:val="en-US" w:eastAsia="zh-CN" w:bidi="en-US"/>
        </w:rPr>
        <w:t>仪</w:t>
      </w:r>
      <w:r>
        <w:rPr>
          <w:rFonts w:hint="eastAsia"/>
          <w:color w:val="000000"/>
          <w:kern w:val="0"/>
          <w:szCs w:val="21"/>
          <w:highlight w:val="none"/>
          <w:lang w:val="en-US" w:eastAsia="zh-CN" w:bidi="en-US"/>
        </w:rPr>
        <w:t>器验证</w:t>
      </w:r>
      <w:r>
        <w:rPr>
          <w:rFonts w:hint="eastAsia"/>
          <w:color w:val="000000"/>
          <w:kern w:val="0"/>
          <w:szCs w:val="21"/>
          <w:highlight w:val="none"/>
          <w:lang w:eastAsia="zh-CN" w:bidi="en-US"/>
        </w:rPr>
        <w:t>应</w:t>
      </w:r>
      <w:r>
        <w:rPr>
          <w:rFonts w:hint="eastAsia"/>
          <w:color w:val="000000"/>
          <w:kern w:val="0"/>
          <w:szCs w:val="21"/>
          <w:highlight w:val="none"/>
          <w:lang w:val="en-US" w:eastAsia="zh-CN" w:bidi="en-US"/>
        </w:rPr>
        <w:t>包括</w:t>
      </w:r>
      <w:r>
        <w:rPr>
          <w:rFonts w:hint="eastAsia"/>
          <w:color w:val="000000"/>
          <w:kern w:val="0"/>
          <w:szCs w:val="21"/>
          <w:highlight w:val="none"/>
          <w:lang w:eastAsia="zh-CN" w:bidi="en-US"/>
        </w:rPr>
        <w:t>在</w:t>
      </w:r>
      <w:r>
        <w:rPr>
          <w:rFonts w:hint="eastAsia"/>
          <w:color w:val="000000"/>
          <w:kern w:val="0"/>
          <w:szCs w:val="21"/>
          <w:highlight w:val="none"/>
          <w:lang w:val="en-US" w:eastAsia="zh-CN" w:bidi="en-US"/>
        </w:rPr>
        <w:t>样品色谱</w:t>
      </w:r>
      <w:r>
        <w:rPr>
          <w:rFonts w:hint="eastAsia"/>
          <w:color w:val="000000"/>
          <w:kern w:val="0"/>
          <w:szCs w:val="21"/>
          <w:highlight w:val="none"/>
          <w:lang w:eastAsia="zh-CN" w:bidi="en-US"/>
        </w:rPr>
        <w:t>进样之间使用</w:t>
      </w:r>
      <w:r>
        <w:rPr>
          <w:rFonts w:hint="eastAsia"/>
          <w:color w:val="000000"/>
          <w:kern w:val="0"/>
          <w:szCs w:val="21"/>
          <w:highlight w:val="none"/>
          <w:lang w:val="en-US" w:eastAsia="zh-CN" w:bidi="en-US"/>
        </w:rPr>
        <w:t>方法</w:t>
      </w:r>
      <w:r>
        <w:rPr>
          <w:rFonts w:hint="eastAsia"/>
          <w:color w:val="000000"/>
          <w:kern w:val="0"/>
          <w:szCs w:val="21"/>
          <w:highlight w:val="none"/>
          <w:lang w:eastAsia="zh-CN" w:bidi="en-US"/>
        </w:rPr>
        <w:t>空白</w:t>
      </w:r>
      <w:r>
        <w:rPr>
          <w:color w:val="000000"/>
          <w:kern w:val="0"/>
          <w:szCs w:val="21"/>
          <w:highlight w:val="none"/>
          <w:lang w:bidi="en-US"/>
        </w:rPr>
        <w:t>。</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在提取和分析过程中，</w:t>
      </w:r>
      <w:r>
        <w:rPr>
          <w:rFonts w:hint="eastAsia"/>
          <w:color w:val="000000"/>
          <w:kern w:val="0"/>
          <w:szCs w:val="21"/>
          <w:lang w:eastAsia="zh-CN" w:bidi="en-US"/>
        </w:rPr>
        <w:t>应使用棕色或琥珀色玻璃器皿</w:t>
      </w:r>
      <w:r>
        <w:rPr>
          <w:color w:val="000000"/>
          <w:kern w:val="0"/>
          <w:szCs w:val="21"/>
          <w:lang w:bidi="en-US"/>
        </w:rPr>
        <w:t>，</w:t>
      </w:r>
      <w:r>
        <w:rPr>
          <w:rFonts w:hint="eastAsia"/>
          <w:color w:val="000000"/>
          <w:kern w:val="0"/>
          <w:szCs w:val="21"/>
          <w:lang w:eastAsia="zh-CN" w:bidi="en-US"/>
        </w:rPr>
        <w:t>以</w:t>
      </w:r>
      <w:r>
        <w:rPr>
          <w:color w:val="000000"/>
          <w:kern w:val="0"/>
          <w:szCs w:val="21"/>
          <w:lang w:bidi="en-US"/>
        </w:rPr>
        <w:t>避免HBCDD被紫外线分解和/或脱溴。</w:t>
      </w:r>
    </w:p>
    <w:p>
      <w:pPr>
        <w:ind w:firstLine="360" w:firstLineChars="200"/>
        <w:rPr>
          <w:kern w:val="0"/>
          <w:sz w:val="18"/>
          <w:szCs w:val="18"/>
        </w:rPr>
      </w:pPr>
      <w:r>
        <w:rPr>
          <w:rFonts w:hint="eastAsia" w:ascii="黑体" w:hAnsi="黑体" w:eastAsia="黑体" w:cs="黑体"/>
          <w:kern w:val="0"/>
          <w:sz w:val="18"/>
          <w:szCs w:val="18"/>
        </w:rPr>
        <w:t>注：</w:t>
      </w:r>
      <w:r>
        <w:rPr>
          <w:kern w:val="0"/>
          <w:sz w:val="18"/>
          <w:szCs w:val="18"/>
        </w:rPr>
        <w:t>如果没有棕色或琥珀色玻璃</w:t>
      </w:r>
      <w:r>
        <w:rPr>
          <w:rFonts w:hint="eastAsia"/>
          <w:kern w:val="0"/>
          <w:sz w:val="18"/>
          <w:szCs w:val="18"/>
          <w:lang w:eastAsia="zh-CN"/>
        </w:rPr>
        <w:t>器皿</w:t>
      </w:r>
      <w:r>
        <w:rPr>
          <w:kern w:val="0"/>
          <w:sz w:val="18"/>
          <w:szCs w:val="18"/>
        </w:rPr>
        <w:t>，可以用铝箔来遮挡光线。</w:t>
      </w:r>
    </w:p>
    <w:p>
      <w:pPr>
        <w:pStyle w:val="47"/>
      </w:pPr>
      <w:bookmarkStart w:id="33" w:name="bookmark27"/>
      <w:r>
        <w:t>A.5.2 样品制备</w:t>
      </w:r>
      <w:bookmarkEnd w:id="33"/>
    </w:p>
    <w:p>
      <w:pPr>
        <w:pStyle w:val="47"/>
      </w:pPr>
      <w:bookmarkStart w:id="34" w:name="bookmark28"/>
      <w:r>
        <w:t>A.5.2.1 索氏提取器的预提取</w:t>
      </w:r>
      <w:bookmarkEnd w:id="34"/>
    </w:p>
    <w:p>
      <w:pPr>
        <w:ind w:firstLine="420" w:firstLineChars="200"/>
        <w:rPr>
          <w:kern w:val="0"/>
          <w:szCs w:val="21"/>
        </w:rPr>
      </w:pPr>
      <w:r>
        <w:rPr>
          <w:kern w:val="0"/>
          <w:szCs w:val="21"/>
        </w:rPr>
        <w:t>为了清洗索氏提取器（A.3.c），用70</w:t>
      </w:r>
      <w:r>
        <w:rPr>
          <w:rFonts w:hint="eastAsia"/>
          <w:kern w:val="0"/>
          <w:szCs w:val="21"/>
          <w:lang w:eastAsia="zh-CN"/>
        </w:rPr>
        <w:t xml:space="preserve"> mL</w:t>
      </w:r>
      <w:r>
        <w:rPr>
          <w:kern w:val="0"/>
          <w:szCs w:val="21"/>
        </w:rPr>
        <w:t>甲苯完成2小时的预提取。</w:t>
      </w:r>
      <w:r>
        <w:rPr>
          <w:rFonts w:hint="eastAsia"/>
          <w:kern w:val="0"/>
          <w:szCs w:val="21"/>
          <w:lang w:val="en-US" w:eastAsia="zh-CN"/>
        </w:rPr>
        <w:t>舍弃洗涤溶剂</w:t>
      </w:r>
      <w:r>
        <w:rPr>
          <w:kern w:val="0"/>
          <w:szCs w:val="21"/>
        </w:rPr>
        <w:t>。</w:t>
      </w:r>
    </w:p>
    <w:p>
      <w:pPr>
        <w:pStyle w:val="47"/>
      </w:pPr>
      <w:bookmarkStart w:id="35" w:name="bookmark29"/>
      <w:r>
        <w:t>A.5.2.2 索氏提取法</w:t>
      </w:r>
      <w:bookmarkEnd w:id="35"/>
    </w:p>
    <w:p>
      <w:pPr>
        <w:ind w:firstLine="420" w:firstLineChars="200"/>
        <w:rPr>
          <w:kern w:val="0"/>
          <w:szCs w:val="21"/>
        </w:rPr>
      </w:pPr>
      <w:r>
        <w:rPr>
          <w:kern w:val="0"/>
          <w:szCs w:val="21"/>
        </w:rPr>
        <w:t>提取样品时应遵循以下步骤：</w:t>
      </w:r>
    </w:p>
    <w:p>
      <w:pPr>
        <w:ind w:left="851" w:leftChars="200" w:hanging="431"/>
        <w:rPr>
          <w:color w:val="000000"/>
          <w:kern w:val="0"/>
          <w:szCs w:val="21"/>
          <w:lang w:bidi="en-US"/>
        </w:rPr>
      </w:pPr>
      <w:r>
        <w:rPr>
          <w:color w:val="000000"/>
          <w:kern w:val="0"/>
          <w:szCs w:val="21"/>
          <w:lang w:bidi="en-US"/>
        </w:rPr>
        <w:t>a）</w:t>
      </w:r>
      <w:r>
        <w:rPr>
          <w:color w:val="000000"/>
          <w:kern w:val="0"/>
          <w:szCs w:val="21"/>
          <w:lang w:bidi="en-US"/>
        </w:rPr>
        <w:tab/>
      </w:r>
      <w:r>
        <w:rPr>
          <w:color w:val="000000"/>
          <w:kern w:val="0"/>
          <w:szCs w:val="21"/>
          <w:lang w:bidi="en-US"/>
        </w:rPr>
        <w:t>称量0.5 g碎片样品，精确至0.0001 g，使用漏斗将样品转移至提取套管。使用甲苯作为提取溶剂。</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为了确保定量转移，用大约10</w:t>
      </w:r>
      <w:r>
        <w:rPr>
          <w:rFonts w:hint="eastAsia"/>
          <w:color w:val="000000"/>
          <w:kern w:val="0"/>
          <w:szCs w:val="21"/>
          <w:lang w:eastAsia="zh-CN" w:bidi="en-US"/>
        </w:rPr>
        <w:t xml:space="preserve"> mL</w:t>
      </w:r>
      <w:r>
        <w:rPr>
          <w:color w:val="000000"/>
          <w:kern w:val="0"/>
          <w:szCs w:val="21"/>
          <w:lang w:bidi="en-US"/>
        </w:rPr>
        <w:t>的提取溶剂冲洗漏斗。</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为了防止样品漂浮，提取套管用玻璃棉封闭（A.3.j）。在100</w:t>
      </w:r>
      <w:r>
        <w:rPr>
          <w:rFonts w:hint="eastAsia"/>
          <w:color w:val="000000"/>
          <w:kern w:val="0"/>
          <w:szCs w:val="21"/>
          <w:lang w:eastAsia="zh-CN" w:bidi="en-US"/>
        </w:rPr>
        <w:t xml:space="preserve"> mL</w:t>
      </w:r>
      <w:r>
        <w:rPr>
          <w:color w:val="000000"/>
          <w:kern w:val="0"/>
          <w:szCs w:val="21"/>
          <w:lang w:bidi="en-US"/>
        </w:rPr>
        <w:t>的圆底烧瓶中放入大约80</w:t>
      </w:r>
      <w:r>
        <w:rPr>
          <w:rFonts w:hint="eastAsia"/>
          <w:color w:val="000000"/>
          <w:kern w:val="0"/>
          <w:szCs w:val="21"/>
          <w:lang w:eastAsia="zh-CN" w:bidi="en-US"/>
        </w:rPr>
        <w:t xml:space="preserve"> mL</w:t>
      </w:r>
      <w:r>
        <w:rPr>
          <w:color w:val="000000"/>
          <w:kern w:val="0"/>
          <w:szCs w:val="21"/>
          <w:lang w:bidi="en-US"/>
        </w:rPr>
        <w:t>的溶剂，用铝箔将其覆盖以阻挡光线，样品提取时间至少2小时，每个循环期大约2到3</w:t>
      </w:r>
      <w:r>
        <w:rPr>
          <w:rFonts w:hint="eastAsia"/>
          <w:color w:val="000000"/>
          <w:kern w:val="0"/>
          <w:szCs w:val="21"/>
          <w:lang w:eastAsia="zh-CN" w:bidi="en-US"/>
        </w:rPr>
        <w:t>min</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索氏提取后，在室温下冷却。</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在旋转蒸发器上蒸发圆底烧瓶内的提取液，直到剩下大约10</w:t>
      </w:r>
      <w:r>
        <w:rPr>
          <w:rFonts w:hint="eastAsia"/>
          <w:color w:val="000000"/>
          <w:kern w:val="0"/>
          <w:szCs w:val="21"/>
          <w:lang w:eastAsia="zh-CN" w:bidi="en-US"/>
        </w:rPr>
        <w:t xml:space="preserve"> mL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将内容物转移到20</w:t>
      </w:r>
      <w:r>
        <w:rPr>
          <w:rFonts w:hint="eastAsia"/>
          <w:color w:val="000000"/>
          <w:kern w:val="0"/>
          <w:szCs w:val="21"/>
          <w:lang w:eastAsia="zh-CN" w:bidi="en-US"/>
        </w:rPr>
        <w:t xml:space="preserve"> mL容量瓶</w:t>
      </w:r>
      <w:r>
        <w:rPr>
          <w:color w:val="000000"/>
          <w:kern w:val="0"/>
          <w:szCs w:val="21"/>
          <w:lang w:bidi="en-US"/>
        </w:rPr>
        <w:t>中，然后用溶剂定容。</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rFonts w:hint="eastAsia"/>
          <w:color w:val="000000"/>
          <w:kern w:val="0"/>
          <w:szCs w:val="21"/>
          <w:highlight w:val="none"/>
          <w:lang w:val="en-US" w:eastAsia="zh-CN" w:bidi="en-US"/>
        </w:rPr>
        <w:t>f）中溶液过</w:t>
      </w:r>
      <w:r>
        <w:rPr>
          <w:color w:val="000000"/>
          <w:kern w:val="0"/>
          <w:szCs w:val="21"/>
          <w:highlight w:val="none"/>
          <w:lang w:bidi="en-US"/>
        </w:rPr>
        <w:t>0.45μ</w:t>
      </w:r>
      <w:r>
        <w:rPr>
          <w:rFonts w:hint="eastAsia"/>
          <w:color w:val="000000"/>
          <w:kern w:val="0"/>
          <w:szCs w:val="21"/>
          <w:highlight w:val="none"/>
          <w:lang w:val="en-US" w:eastAsia="zh-CN" w:bidi="en-US"/>
        </w:rPr>
        <w:t>m滤膜（A.3.n）后制成待测试样</w:t>
      </w:r>
      <w:r>
        <w:rPr>
          <w:color w:val="000000"/>
          <w:kern w:val="0"/>
          <w:szCs w:val="21"/>
          <w:lang w:bidi="en-US"/>
        </w:rPr>
        <w:t>，完成HPLC-MS分析。</w:t>
      </w:r>
    </w:p>
    <w:p>
      <w:pPr>
        <w:pStyle w:val="47"/>
      </w:pPr>
      <w:bookmarkStart w:id="36" w:name="bookmark30"/>
      <w:r>
        <w:t>A.5.2.3 可溶性聚合物的替代提取程序</w:t>
      </w:r>
      <w:bookmarkEnd w:id="36"/>
    </w:p>
    <w:p>
      <w:pPr>
        <w:ind w:firstLine="420" w:firstLineChars="200"/>
        <w:rPr>
          <w:kern w:val="0"/>
          <w:szCs w:val="21"/>
        </w:rPr>
      </w:pPr>
      <w:r>
        <w:rPr>
          <w:kern w:val="0"/>
          <w:szCs w:val="21"/>
        </w:rPr>
        <w:t>作为索氏提取的替代方法，超声波溶解程序适用于可溶于四氢呋喃的聚合物，具体按照以下步骤：</w:t>
      </w:r>
    </w:p>
    <w:p>
      <w:pPr>
        <w:ind w:left="851" w:leftChars="200" w:hanging="431"/>
        <w:rPr>
          <w:color w:val="000000"/>
          <w:kern w:val="0"/>
          <w:szCs w:val="21"/>
          <w:lang w:bidi="en-US"/>
        </w:rPr>
      </w:pPr>
      <w:r>
        <w:rPr>
          <w:color w:val="000000"/>
          <w:kern w:val="0"/>
          <w:szCs w:val="21"/>
          <w:lang w:bidi="en-US"/>
        </w:rPr>
        <w:t>a）</w:t>
      </w:r>
      <w:r>
        <w:rPr>
          <w:color w:val="000000"/>
          <w:kern w:val="0"/>
          <w:szCs w:val="21"/>
          <w:lang w:bidi="en-US"/>
        </w:rPr>
        <w:tab/>
      </w:r>
      <w:r>
        <w:rPr>
          <w:color w:val="000000"/>
          <w:kern w:val="0"/>
          <w:szCs w:val="21"/>
          <w:lang w:bidi="en-US"/>
        </w:rPr>
        <w:t>称量0.5 g样品，精确至0.0001 g，放入合适的玻璃容器中。</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定量加入30</w:t>
      </w:r>
      <w:r>
        <w:rPr>
          <w:rFonts w:hint="eastAsia"/>
          <w:color w:val="000000"/>
          <w:kern w:val="0"/>
          <w:szCs w:val="21"/>
          <w:lang w:eastAsia="zh-CN" w:bidi="en-US"/>
        </w:rPr>
        <w:t xml:space="preserve"> mL</w:t>
      </w:r>
      <w:r>
        <w:rPr>
          <w:color w:val="000000"/>
          <w:kern w:val="0"/>
          <w:szCs w:val="21"/>
          <w:lang w:bidi="en-US"/>
        </w:rPr>
        <w:t>四氢呋喃，将样品放入40℃的超声波清洗器中约1小时或直至溶解。</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定量滴加70</w:t>
      </w:r>
      <w:r>
        <w:rPr>
          <w:rFonts w:hint="eastAsia"/>
          <w:color w:val="000000"/>
          <w:kern w:val="0"/>
          <w:szCs w:val="21"/>
          <w:lang w:eastAsia="zh-CN" w:bidi="en-US"/>
        </w:rPr>
        <w:t xml:space="preserve"> mL</w:t>
      </w:r>
      <w:r>
        <w:rPr>
          <w:color w:val="000000"/>
          <w:kern w:val="0"/>
          <w:szCs w:val="21"/>
          <w:lang w:bidi="en-US"/>
        </w:rPr>
        <w:t>甲醇，使聚合物树脂部分从溶液中析出。</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索氏提取后，在室温下冷却，然后使用5A号滤纸过滤。</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在旋转蒸发器上蒸发圆底烧瓶内的提取液，直到剩下大约10</w:t>
      </w:r>
      <w:r>
        <w:rPr>
          <w:rFonts w:hint="eastAsia"/>
          <w:color w:val="000000"/>
          <w:kern w:val="0"/>
          <w:szCs w:val="21"/>
          <w:lang w:eastAsia="zh-CN" w:bidi="en-US"/>
        </w:rPr>
        <w:t xml:space="preserve"> mL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将内容物转移到20</w:t>
      </w:r>
      <w:r>
        <w:rPr>
          <w:rFonts w:hint="eastAsia"/>
          <w:color w:val="000000"/>
          <w:kern w:val="0"/>
          <w:szCs w:val="21"/>
          <w:lang w:eastAsia="zh-CN" w:bidi="en-US"/>
        </w:rPr>
        <w:t xml:space="preserve"> mL容量瓶</w:t>
      </w:r>
      <w:r>
        <w:rPr>
          <w:color w:val="000000"/>
          <w:kern w:val="0"/>
          <w:szCs w:val="21"/>
          <w:lang w:bidi="en-US"/>
        </w:rPr>
        <w:t>中，然后用甲醇定容。</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rFonts w:hint="eastAsia"/>
          <w:color w:val="000000"/>
          <w:kern w:val="0"/>
          <w:szCs w:val="21"/>
          <w:lang w:val="en-US" w:eastAsia="zh-CN" w:bidi="en-US"/>
        </w:rPr>
        <w:t>f）中溶液过</w:t>
      </w:r>
      <w:r>
        <w:rPr>
          <w:color w:val="000000"/>
          <w:kern w:val="0"/>
          <w:szCs w:val="21"/>
          <w:lang w:bidi="en-US"/>
        </w:rPr>
        <w:t>0.45μ</w:t>
      </w:r>
      <w:r>
        <w:rPr>
          <w:rFonts w:hint="eastAsia"/>
          <w:color w:val="000000"/>
          <w:kern w:val="0"/>
          <w:szCs w:val="21"/>
          <w:lang w:val="en-US" w:eastAsia="zh-CN" w:bidi="en-US"/>
        </w:rPr>
        <w:t>m滤膜（A.3.n）后制成待测试样</w:t>
      </w:r>
      <w:r>
        <w:rPr>
          <w:color w:val="000000"/>
          <w:kern w:val="0"/>
          <w:szCs w:val="21"/>
          <w:lang w:bidi="en-US"/>
        </w:rPr>
        <w:t>，完成HPLC-MS分析。</w:t>
      </w:r>
    </w:p>
    <w:p>
      <w:pPr>
        <w:pStyle w:val="47"/>
        <w:rPr>
          <w:rFonts w:hint="eastAsia" w:eastAsia="黑体"/>
          <w:lang w:eastAsia="zh-CN"/>
        </w:rPr>
      </w:pPr>
      <w:bookmarkStart w:id="37" w:name="bookmark31"/>
      <w:r>
        <w:t>A.5.3 仪器</w:t>
      </w:r>
      <w:bookmarkEnd w:id="37"/>
      <w:r>
        <w:rPr>
          <w:rFonts w:hint="eastAsia"/>
          <w:lang w:val="en-US" w:eastAsia="zh-CN"/>
        </w:rPr>
        <w:t>条件</w:t>
      </w:r>
    </w:p>
    <w:p>
      <w:pPr>
        <w:pStyle w:val="47"/>
      </w:pPr>
      <w:bookmarkStart w:id="38" w:name="bookmark32"/>
      <w:r>
        <w:t>A.5.3.1 总述</w:t>
      </w:r>
      <w:bookmarkEnd w:id="38"/>
    </w:p>
    <w:p>
      <w:pPr>
        <w:ind w:firstLine="420" w:firstLineChars="200"/>
        <w:rPr>
          <w:kern w:val="0"/>
          <w:szCs w:val="21"/>
        </w:rPr>
      </w:pPr>
      <w:r>
        <w:rPr>
          <w:rFonts w:hint="eastAsia"/>
          <w:kern w:val="0"/>
          <w:szCs w:val="21"/>
        </w:rPr>
        <w:t>为了有效分离</w:t>
      </w:r>
      <w:r>
        <w:rPr>
          <w:kern w:val="0"/>
          <w:szCs w:val="21"/>
        </w:rPr>
        <w:t>HBCDD</w:t>
      </w:r>
      <w:r>
        <w:rPr>
          <w:rFonts w:hint="eastAsia"/>
          <w:kern w:val="0"/>
          <w:szCs w:val="21"/>
          <w:lang w:val="en-US" w:eastAsia="zh-CN"/>
        </w:rPr>
        <w:t>同分异构体</w:t>
      </w:r>
      <w:r>
        <w:rPr>
          <w:rFonts w:hint="eastAsia"/>
          <w:kern w:val="0"/>
          <w:szCs w:val="21"/>
        </w:rPr>
        <w:t>，并满足质量控制（Q</w:t>
      </w:r>
      <w:r>
        <w:rPr>
          <w:kern w:val="0"/>
          <w:szCs w:val="21"/>
        </w:rPr>
        <w:t>C</w:t>
      </w:r>
      <w:r>
        <w:rPr>
          <w:rFonts w:hint="eastAsia"/>
          <w:kern w:val="0"/>
          <w:szCs w:val="21"/>
        </w:rPr>
        <w:t>）和方法检出限（M</w:t>
      </w:r>
      <w:r>
        <w:rPr>
          <w:kern w:val="0"/>
          <w:szCs w:val="21"/>
        </w:rPr>
        <w:t>DL</w:t>
      </w:r>
      <w:r>
        <w:rPr>
          <w:rFonts w:hint="eastAsia"/>
          <w:kern w:val="0"/>
          <w:szCs w:val="21"/>
        </w:rPr>
        <w:t>）的要求，对于某一具体的HPLC-MS系统，可能需要采用不同的条件进行优化。下列给出的参数经证明是可行的例子:</w:t>
      </w:r>
    </w:p>
    <w:p>
      <w:pPr>
        <w:pStyle w:val="47"/>
        <w:rPr>
          <w:highlight w:val="none"/>
        </w:rPr>
      </w:pPr>
      <w:bookmarkStart w:id="39" w:name="bookmark33"/>
      <w:r>
        <w:t>A.5</w:t>
      </w:r>
      <w:r>
        <w:rPr>
          <w:highlight w:val="none"/>
        </w:rPr>
        <w:t xml:space="preserve">.3.2 </w:t>
      </w:r>
      <w:r>
        <w:rPr>
          <w:rFonts w:hint="eastAsia"/>
          <w:highlight w:val="none"/>
          <w:lang w:val="en-US" w:eastAsia="zh-CN"/>
        </w:rPr>
        <w:t>流动</w:t>
      </w:r>
      <w:r>
        <w:rPr>
          <w:highlight w:val="none"/>
        </w:rPr>
        <w:t>相</w:t>
      </w:r>
      <w:bookmarkEnd w:id="39"/>
    </w:p>
    <w:p>
      <w:pPr>
        <w:ind w:firstLine="420" w:firstLineChars="200"/>
        <w:rPr>
          <w:kern w:val="0"/>
          <w:szCs w:val="21"/>
          <w:highlight w:val="none"/>
        </w:rPr>
      </w:pPr>
      <w:r>
        <w:rPr>
          <w:rFonts w:hint="default" w:ascii="Times New Roman" w:hAnsi="Times New Roman" w:eastAsia="宋体" w:cs="Times New Roman"/>
          <w:color w:val="000000"/>
          <w:kern w:val="0"/>
          <w:sz w:val="21"/>
          <w:szCs w:val="21"/>
          <w:highlight w:val="none"/>
          <w:lang w:val="en-US" w:eastAsia="zh-CN" w:bidi="ar"/>
        </w:rPr>
        <w:t>用20mmol</w:t>
      </w:r>
      <w:r>
        <w:rPr>
          <w:rFonts w:hint="eastAsia" w:cs="Times New Roman"/>
          <w:color w:val="000000"/>
          <w:kern w:val="0"/>
          <w:sz w:val="21"/>
          <w:szCs w:val="21"/>
          <w:highlight w:val="none"/>
          <w:lang w:val="en-US" w:eastAsia="zh-CN" w:bidi="ar"/>
        </w:rPr>
        <w:t>/L</w:t>
      </w:r>
      <w:r>
        <w:rPr>
          <w:rFonts w:hint="default" w:ascii="Times New Roman" w:hAnsi="Times New Roman" w:eastAsia="宋体" w:cs="Times New Roman"/>
          <w:color w:val="000000"/>
          <w:kern w:val="0"/>
          <w:sz w:val="21"/>
          <w:szCs w:val="21"/>
          <w:highlight w:val="none"/>
          <w:lang w:val="en-US" w:eastAsia="zh-CN" w:bidi="ar"/>
        </w:rPr>
        <w:t>的乙酸铵溶液作为流动相。以甲醇为溶剂，用于标准</w:t>
      </w:r>
      <w:r>
        <w:rPr>
          <w:rFonts w:hint="eastAsia" w:cs="Times New Roman"/>
          <w:color w:val="000000"/>
          <w:kern w:val="0"/>
          <w:sz w:val="21"/>
          <w:szCs w:val="21"/>
          <w:highlight w:val="none"/>
          <w:lang w:val="en-US" w:eastAsia="zh-CN" w:bidi="ar"/>
        </w:rPr>
        <w:t>溶液</w:t>
      </w:r>
      <w:r>
        <w:rPr>
          <w:rFonts w:hint="default" w:ascii="Times New Roman" w:hAnsi="Times New Roman" w:eastAsia="宋体" w:cs="Times New Roman"/>
          <w:color w:val="000000"/>
          <w:kern w:val="0"/>
          <w:sz w:val="21"/>
          <w:szCs w:val="21"/>
          <w:highlight w:val="none"/>
          <w:lang w:val="en-US" w:eastAsia="zh-CN" w:bidi="ar"/>
        </w:rPr>
        <w:t>以及提取样品的溶解（见表A.1）。</w:t>
      </w:r>
    </w:p>
    <w:p>
      <w:pPr>
        <w:spacing w:before="156" w:beforeLines="50" w:after="156" w:afterLines="50"/>
        <w:jc w:val="center"/>
        <w:rPr>
          <w:b/>
          <w:bCs/>
          <w:szCs w:val="21"/>
          <w:highlight w:val="none"/>
        </w:rPr>
      </w:pPr>
      <w:bookmarkStart w:id="40" w:name="bookmark34"/>
      <w:r>
        <w:rPr>
          <w:b/>
          <w:bCs/>
          <w:szCs w:val="21"/>
          <w:highlight w:val="none"/>
        </w:rPr>
        <w:t>表A.1 HPLC-MS液相</w:t>
      </w:r>
      <w:bookmarkEnd w:id="40"/>
    </w:p>
    <w:tbl>
      <w:tblPr>
        <w:tblStyle w:val="37"/>
        <w:tblW w:w="9468" w:type="dxa"/>
        <w:tblInd w:w="0" w:type="dxa"/>
        <w:tblLayout w:type="fixed"/>
        <w:tblCellMar>
          <w:top w:w="0" w:type="dxa"/>
          <w:left w:w="57" w:type="dxa"/>
          <w:bottom w:w="0" w:type="dxa"/>
          <w:right w:w="57" w:type="dxa"/>
        </w:tblCellMar>
      </w:tblPr>
      <w:tblGrid>
        <w:gridCol w:w="4734"/>
        <w:gridCol w:w="4734"/>
      </w:tblGrid>
      <w:tr>
        <w:tc>
          <w:tcPr>
            <w:tcW w:w="4734" w:type="dxa"/>
            <w:tcBorders>
              <w:top w:val="single" w:color="auto" w:sz="4" w:space="0"/>
              <w:left w:val="single" w:color="auto" w:sz="4" w:space="0"/>
            </w:tcBorders>
            <w:shd w:val="clear" w:color="auto" w:fill="FFFFFF"/>
            <w:vAlign w:val="bottom"/>
          </w:tcPr>
          <w:p>
            <w:pPr>
              <w:jc w:val="center"/>
              <w:rPr>
                <w:color w:val="000000"/>
                <w:kern w:val="0"/>
                <w:szCs w:val="21"/>
                <w:highlight w:val="none"/>
                <w:lang w:bidi="en-US"/>
              </w:rPr>
            </w:pPr>
            <w:r>
              <w:rPr>
                <w:color w:val="000000"/>
                <w:kern w:val="0"/>
                <w:szCs w:val="21"/>
                <w:highlight w:val="none"/>
                <w:lang w:bidi="en-US"/>
              </w:rPr>
              <w:t>溶剂A（%）</w:t>
            </w:r>
          </w:p>
        </w:tc>
        <w:tc>
          <w:tcPr>
            <w:tcW w:w="4734"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highlight w:val="none"/>
                <w:lang w:bidi="en-US"/>
              </w:rPr>
            </w:pPr>
            <w:r>
              <w:rPr>
                <w:color w:val="000000"/>
                <w:kern w:val="0"/>
                <w:szCs w:val="21"/>
                <w:highlight w:val="none"/>
                <w:lang w:bidi="en-US"/>
              </w:rPr>
              <w:t>溶剂B（%）</w:t>
            </w:r>
          </w:p>
        </w:tc>
      </w:tr>
      <w:tr>
        <w:tc>
          <w:tcPr>
            <w:tcW w:w="4734" w:type="dxa"/>
            <w:tcBorders>
              <w:top w:val="single" w:color="auto" w:sz="4" w:space="0"/>
              <w:left w:val="single" w:color="auto" w:sz="4" w:space="0"/>
            </w:tcBorders>
            <w:shd w:val="clear" w:color="auto" w:fill="FFFFFF"/>
            <w:vAlign w:val="bottom"/>
          </w:tcPr>
          <w:p>
            <w:pPr>
              <w:jc w:val="center"/>
              <w:rPr>
                <w:color w:val="000000"/>
                <w:kern w:val="0"/>
                <w:szCs w:val="21"/>
                <w:highlight w:val="none"/>
                <w:lang w:bidi="en-US"/>
              </w:rPr>
            </w:pPr>
            <w:r>
              <w:rPr>
                <w:color w:val="000000"/>
                <w:kern w:val="0"/>
                <w:szCs w:val="21"/>
                <w:highlight w:val="none"/>
                <w:lang w:bidi="en-US"/>
              </w:rPr>
              <w:t>10</w:t>
            </w:r>
          </w:p>
        </w:tc>
        <w:tc>
          <w:tcPr>
            <w:tcW w:w="4734"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highlight w:val="none"/>
                <w:lang w:bidi="en-US"/>
              </w:rPr>
            </w:pPr>
            <w:r>
              <w:rPr>
                <w:color w:val="000000"/>
                <w:kern w:val="0"/>
                <w:szCs w:val="21"/>
                <w:highlight w:val="none"/>
                <w:lang w:bidi="en-US"/>
              </w:rPr>
              <w:t>90</w:t>
            </w:r>
          </w:p>
        </w:tc>
      </w:tr>
      <w:tr>
        <w:tc>
          <w:tcPr>
            <w:tcW w:w="946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kern w:val="0"/>
                <w:szCs w:val="21"/>
                <w:highlight w:val="none"/>
                <w:lang w:bidi="en-US"/>
              </w:rPr>
            </w:pPr>
            <w:r>
              <w:rPr>
                <w:color w:val="000000"/>
                <w:kern w:val="0"/>
                <w:szCs w:val="21"/>
                <w:highlight w:val="none"/>
                <w:lang w:bidi="en-US"/>
              </w:rPr>
              <w:t>溶剂A：20 m</w:t>
            </w:r>
            <w:r>
              <w:rPr>
                <w:rFonts w:hint="eastAsia"/>
                <w:color w:val="000000"/>
                <w:kern w:val="0"/>
                <w:szCs w:val="21"/>
                <w:highlight w:val="none"/>
                <w:lang w:val="en-US" w:eastAsia="zh-CN" w:bidi="en-US"/>
              </w:rPr>
              <w:t>ol</w:t>
            </w:r>
            <w:r>
              <w:rPr>
                <w:rFonts w:hint="eastAsia"/>
                <w:color w:val="000000"/>
                <w:kern w:val="0"/>
                <w:szCs w:val="21"/>
                <w:highlight w:val="none"/>
                <w:lang w:eastAsia="zh-CN" w:bidi="en-US"/>
              </w:rPr>
              <w:t>/L</w:t>
            </w:r>
            <w:r>
              <w:rPr>
                <w:color w:val="000000"/>
                <w:kern w:val="0"/>
                <w:szCs w:val="21"/>
                <w:highlight w:val="none"/>
                <w:lang w:bidi="en-US"/>
              </w:rPr>
              <w:t>乙酸铵水溶液。</w:t>
            </w:r>
          </w:p>
        </w:tc>
      </w:tr>
      <w:tr>
        <w:tc>
          <w:tcPr>
            <w:tcW w:w="4734"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kern w:val="0"/>
                <w:szCs w:val="21"/>
                <w:lang w:bidi="en-US"/>
              </w:rPr>
            </w:pPr>
            <w:r>
              <w:rPr>
                <w:color w:val="000000"/>
                <w:kern w:val="0"/>
                <w:szCs w:val="21"/>
                <w:lang w:bidi="en-US"/>
              </w:rPr>
              <w:t>溶剂B：甲醇。</w:t>
            </w:r>
          </w:p>
        </w:tc>
        <w:tc>
          <w:tcPr>
            <w:tcW w:w="4734" w:type="dxa"/>
            <w:tcBorders>
              <w:top w:val="single" w:color="auto" w:sz="4" w:space="0"/>
              <w:left w:val="single" w:color="auto" w:sz="4" w:space="0"/>
              <w:bottom w:val="single" w:color="auto" w:sz="4" w:space="0"/>
              <w:right w:val="single" w:color="auto" w:sz="4" w:space="0"/>
            </w:tcBorders>
            <w:shd w:val="clear" w:color="auto" w:fill="FFFFFF"/>
          </w:tcPr>
          <w:p>
            <w:pPr>
              <w:rPr>
                <w:rFonts w:eastAsia="Microsoft JhengHei Light"/>
                <w:color w:val="000000"/>
                <w:kern w:val="0"/>
                <w:szCs w:val="21"/>
                <w:lang w:bidi="en-US"/>
              </w:rPr>
            </w:pPr>
          </w:p>
        </w:tc>
      </w:tr>
    </w:tbl>
    <w:p>
      <w:pPr>
        <w:pStyle w:val="47"/>
      </w:pPr>
      <w:bookmarkStart w:id="41" w:name="bookmark35"/>
      <w:r>
        <w:t>A.5.3.3 固定相</w:t>
      </w:r>
      <w:bookmarkEnd w:id="41"/>
    </w:p>
    <w:p>
      <w:pPr>
        <w:ind w:firstLine="420" w:firstLineChars="200"/>
        <w:rPr>
          <w:kern w:val="0"/>
          <w:szCs w:val="21"/>
        </w:rPr>
      </w:pPr>
      <w:r>
        <w:rPr>
          <w:kern w:val="0"/>
          <w:szCs w:val="21"/>
        </w:rPr>
        <w:t>Eclipse XDB C18色谱柱，150 mm</w:t>
      </w:r>
      <w:r>
        <w:rPr>
          <w:rFonts w:hint="default" w:ascii="Arial" w:hAnsi="Arial" w:cs="Arial"/>
          <w:kern w:val="0"/>
          <w:szCs w:val="21"/>
        </w:rPr>
        <w:t>×</w:t>
      </w:r>
      <w:r>
        <w:rPr>
          <w:kern w:val="0"/>
          <w:szCs w:val="21"/>
        </w:rPr>
        <w:t xml:space="preserve"> 4.6 mm内径，5</w:t>
      </w:r>
      <w:r>
        <w:rPr>
          <w:color w:val="000000"/>
          <w:kern w:val="0"/>
          <w:szCs w:val="21"/>
          <w:lang w:bidi="en-US"/>
        </w:rPr>
        <w:t>μ</w:t>
      </w:r>
      <w:r>
        <w:rPr>
          <w:rFonts w:hint="eastAsia"/>
          <w:color w:val="000000"/>
          <w:kern w:val="0"/>
          <w:szCs w:val="21"/>
          <w:lang w:val="en-US" w:eastAsia="zh-CN" w:bidi="en-US"/>
        </w:rPr>
        <w:t>m</w:t>
      </w:r>
      <w:r>
        <w:rPr>
          <w:kern w:val="0"/>
          <w:szCs w:val="21"/>
        </w:rPr>
        <w:t>或同等规格。</w:t>
      </w:r>
    </w:p>
    <w:p>
      <w:pPr>
        <w:pStyle w:val="47"/>
      </w:pPr>
      <w:r>
        <w:t>A.5.3.4 测定条件</w:t>
      </w:r>
    </w:p>
    <w:p>
      <w:pPr>
        <w:ind w:firstLine="420" w:firstLineChars="200"/>
        <w:rPr>
          <w:kern w:val="0"/>
          <w:szCs w:val="21"/>
        </w:rPr>
      </w:pPr>
      <w:r>
        <w:rPr>
          <w:kern w:val="0"/>
          <w:szCs w:val="21"/>
        </w:rPr>
        <w:t>以下是合适参数，用作示例参考：</w:t>
      </w:r>
    </w:p>
    <w:p>
      <w:pPr>
        <w:ind w:left="851" w:leftChars="200" w:hanging="431"/>
        <w:rPr>
          <w:color w:val="000000"/>
          <w:kern w:val="0"/>
          <w:szCs w:val="21"/>
          <w:lang w:bidi="en-US"/>
        </w:rPr>
      </w:pPr>
      <w:r>
        <w:rPr>
          <w:color w:val="000000"/>
          <w:kern w:val="0"/>
          <w:szCs w:val="21"/>
          <w:lang w:bidi="en-US"/>
        </w:rPr>
        <w:t>a）</w:t>
      </w:r>
      <w:r>
        <w:rPr>
          <w:color w:val="000000"/>
          <w:kern w:val="0"/>
          <w:szCs w:val="21"/>
          <w:lang w:bidi="en-US"/>
        </w:rPr>
        <w:tab/>
      </w:r>
      <w:r>
        <w:rPr>
          <w:color w:val="000000"/>
          <w:kern w:val="0"/>
          <w:szCs w:val="21"/>
          <w:lang w:bidi="en-US"/>
        </w:rPr>
        <w:t>在0.7</w:t>
      </w:r>
      <w:r>
        <w:rPr>
          <w:rFonts w:hint="eastAsia"/>
          <w:color w:val="000000"/>
          <w:kern w:val="0"/>
          <w:szCs w:val="21"/>
          <w:lang w:eastAsia="zh-CN" w:bidi="en-US"/>
        </w:rPr>
        <w:t xml:space="preserve"> mL</w:t>
      </w:r>
      <w:r>
        <w:rPr>
          <w:color w:val="000000"/>
          <w:kern w:val="0"/>
          <w:szCs w:val="21"/>
          <w:lang w:bidi="en-US"/>
        </w:rPr>
        <w:t>/min的流速下，运行20</w:t>
      </w:r>
      <w:r>
        <w:rPr>
          <w:rFonts w:hint="eastAsia"/>
          <w:color w:val="000000"/>
          <w:kern w:val="0"/>
          <w:szCs w:val="21"/>
          <w:lang w:eastAsia="zh-CN" w:bidi="en-US"/>
        </w:rPr>
        <w:t>min</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在m/z 500</w:t>
      </w:r>
      <w:r>
        <w:rPr>
          <w:rFonts w:hint="eastAsia"/>
          <w:color w:val="000000"/>
          <w:kern w:val="0"/>
          <w:szCs w:val="21"/>
          <w:lang w:val="en-US" w:eastAsia="zh-CN" w:bidi="en-US"/>
        </w:rPr>
        <w:t>至</w:t>
      </w:r>
      <w:r>
        <w:rPr>
          <w:color w:val="000000"/>
          <w:kern w:val="0"/>
          <w:szCs w:val="21"/>
          <w:lang w:bidi="en-US"/>
        </w:rPr>
        <w:t>m/z 800之间以扫描模式收集数据，在m/z = 641处以SIM模式收集数据；</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停止时间：20 min；</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进样量：7</w:t>
      </w:r>
      <w:r>
        <w:rPr>
          <w:rFonts w:hint="eastAsia"/>
          <w:color w:val="000000"/>
          <w:kern w:val="0"/>
          <w:szCs w:val="21"/>
          <w:lang w:val="en-US" w:eastAsia="zh-CN" w:bidi="en-US"/>
        </w:rPr>
        <w:t>.</w:t>
      </w:r>
      <w:r>
        <w:rPr>
          <w:color w:val="000000"/>
          <w:kern w:val="0"/>
          <w:szCs w:val="21"/>
          <w:lang w:bidi="en-US"/>
        </w:rPr>
        <w:t>0</w:t>
      </w:r>
      <w:r>
        <w:rPr>
          <w:rFonts w:hint="eastAsia"/>
          <w:color w:val="000000"/>
          <w:kern w:val="0"/>
          <w:szCs w:val="21"/>
          <w:lang w:eastAsia="zh-CN" w:bidi="en-US"/>
        </w:rPr>
        <w:t>μL</w:t>
      </w:r>
      <w:r>
        <w:rPr>
          <w:color w:val="000000"/>
          <w:kern w:val="0"/>
          <w:szCs w:val="21"/>
          <w:lang w:bidi="en-US"/>
        </w:rPr>
        <w:t>；</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色谱柱温度：30 °C ± 0</w:t>
      </w:r>
      <w:r>
        <w:rPr>
          <w:rFonts w:hint="eastAsia"/>
          <w:color w:val="000000"/>
          <w:kern w:val="0"/>
          <w:szCs w:val="21"/>
          <w:lang w:val="en-US" w:eastAsia="zh-CN" w:bidi="en-US"/>
        </w:rPr>
        <w:t>.</w:t>
      </w:r>
      <w:r>
        <w:rPr>
          <w:color w:val="000000"/>
          <w:kern w:val="0"/>
          <w:szCs w:val="21"/>
          <w:lang w:bidi="en-US"/>
        </w:rPr>
        <w:t>8 °C；</w:t>
      </w:r>
    </w:p>
    <w:p>
      <w:pPr>
        <w:ind w:left="851" w:leftChars="200" w:hanging="431"/>
        <w:rPr>
          <w:color w:val="000000"/>
          <w:kern w:val="0"/>
          <w:szCs w:val="21"/>
          <w:highlight w:val="none"/>
          <w:lang w:bidi="en-US"/>
        </w:rPr>
      </w:pPr>
      <w:r>
        <w:rPr>
          <w:color w:val="000000"/>
          <w:kern w:val="0"/>
          <w:szCs w:val="21"/>
          <w:lang w:bidi="en-US"/>
        </w:rPr>
        <w:t>f）</w:t>
      </w:r>
      <w:r>
        <w:rPr>
          <w:color w:val="000000"/>
          <w:kern w:val="0"/>
          <w:szCs w:val="21"/>
          <w:lang w:bidi="en-US"/>
        </w:rPr>
        <w:tab/>
      </w:r>
      <w:r>
        <w:rPr>
          <w:color w:val="000000"/>
          <w:kern w:val="0"/>
          <w:szCs w:val="21"/>
          <w:lang w:bidi="en-US"/>
        </w:rPr>
        <w:t>溶剂方案：</w:t>
      </w:r>
      <w:r>
        <w:rPr>
          <w:color w:val="000000"/>
          <w:kern w:val="0"/>
          <w:szCs w:val="21"/>
          <w:highlight w:val="none"/>
          <w:lang w:bidi="en-US"/>
        </w:rPr>
        <w:t>等度溶剂法；</w:t>
      </w:r>
    </w:p>
    <w:p>
      <w:pPr>
        <w:ind w:left="851" w:leftChars="200" w:hanging="431"/>
        <w:rPr>
          <w:color w:val="000000"/>
          <w:kern w:val="0"/>
          <w:szCs w:val="21"/>
          <w:highlight w:val="none"/>
          <w:lang w:bidi="en-US"/>
        </w:rPr>
      </w:pPr>
      <w:r>
        <w:rPr>
          <w:color w:val="000000"/>
          <w:kern w:val="0"/>
          <w:szCs w:val="21"/>
          <w:highlight w:val="none"/>
          <w:lang w:bidi="en-US"/>
        </w:rPr>
        <w:t>g）</w:t>
      </w:r>
      <w:r>
        <w:rPr>
          <w:color w:val="000000"/>
          <w:kern w:val="0"/>
          <w:szCs w:val="21"/>
          <w:highlight w:val="none"/>
          <w:lang w:bidi="en-US"/>
        </w:rPr>
        <w:tab/>
      </w:r>
      <w:r>
        <w:rPr>
          <w:color w:val="000000"/>
          <w:kern w:val="0"/>
          <w:szCs w:val="21"/>
          <w:highlight w:val="none"/>
          <w:lang w:bidi="en-US"/>
        </w:rPr>
        <w:t>质谱仪：</w:t>
      </w:r>
    </w:p>
    <w:p>
      <w:pPr>
        <w:ind w:left="1320" w:leftChars="400" w:hanging="480"/>
        <w:rPr>
          <w:color w:val="000000"/>
          <w:kern w:val="0"/>
          <w:szCs w:val="21"/>
          <w:highlight w:val="none"/>
          <w:lang w:bidi="en-US"/>
        </w:rPr>
      </w:pPr>
      <w:r>
        <w:rPr>
          <w:color w:val="000000"/>
          <w:kern w:val="0"/>
          <w:szCs w:val="21"/>
          <w:highlight w:val="none"/>
          <w:lang w:bidi="en-US"/>
        </w:rPr>
        <w:t>- 极性：负API-ES；</w:t>
      </w:r>
    </w:p>
    <w:p>
      <w:pPr>
        <w:ind w:left="1320" w:leftChars="400" w:hanging="480"/>
        <w:rPr>
          <w:color w:val="000000"/>
          <w:kern w:val="0"/>
          <w:szCs w:val="21"/>
          <w:highlight w:val="none"/>
          <w:lang w:bidi="en-US"/>
        </w:rPr>
      </w:pPr>
      <w:r>
        <w:rPr>
          <w:color w:val="000000"/>
          <w:kern w:val="0"/>
          <w:szCs w:val="21"/>
          <w:highlight w:val="none"/>
          <w:lang w:bidi="en-US"/>
        </w:rPr>
        <w:t>- 碎片：90；</w:t>
      </w:r>
    </w:p>
    <w:p>
      <w:pPr>
        <w:ind w:left="1320" w:leftChars="400" w:hanging="480"/>
        <w:rPr>
          <w:color w:val="000000"/>
          <w:kern w:val="0"/>
          <w:szCs w:val="21"/>
          <w:highlight w:val="none"/>
          <w:lang w:bidi="en-US"/>
        </w:rPr>
      </w:pPr>
      <w:r>
        <w:rPr>
          <w:color w:val="000000"/>
          <w:kern w:val="0"/>
          <w:szCs w:val="21"/>
          <w:highlight w:val="none"/>
          <w:lang w:bidi="en-US"/>
        </w:rPr>
        <w:t>- 毛细管电压：4 000 V（负）；</w:t>
      </w:r>
    </w:p>
    <w:p>
      <w:pPr>
        <w:ind w:left="1320" w:leftChars="400" w:hanging="480"/>
        <w:rPr>
          <w:color w:val="000000"/>
          <w:kern w:val="0"/>
          <w:szCs w:val="21"/>
          <w:highlight w:val="none"/>
          <w:lang w:bidi="en-US"/>
        </w:rPr>
      </w:pPr>
      <w:r>
        <w:rPr>
          <w:color w:val="000000"/>
          <w:kern w:val="0"/>
          <w:szCs w:val="21"/>
          <w:highlight w:val="none"/>
          <w:lang w:bidi="en-US"/>
        </w:rPr>
        <w:t>- 阈值：100；</w:t>
      </w:r>
    </w:p>
    <w:p>
      <w:pPr>
        <w:ind w:left="1320" w:leftChars="400" w:hanging="480"/>
        <w:rPr>
          <w:color w:val="000000"/>
          <w:kern w:val="0"/>
          <w:szCs w:val="21"/>
          <w:highlight w:val="none"/>
          <w:lang w:bidi="en-US"/>
        </w:rPr>
      </w:pPr>
      <w:r>
        <w:rPr>
          <w:color w:val="000000"/>
          <w:kern w:val="0"/>
          <w:szCs w:val="21"/>
          <w:highlight w:val="none"/>
          <w:lang w:bidi="en-US"/>
        </w:rPr>
        <w:t>- 雾化器压力：310 kPa；</w:t>
      </w:r>
    </w:p>
    <w:p>
      <w:pPr>
        <w:ind w:left="1320" w:leftChars="400" w:hanging="480"/>
        <w:rPr>
          <w:color w:val="000000"/>
          <w:kern w:val="0"/>
          <w:szCs w:val="21"/>
          <w:lang w:bidi="en-US"/>
        </w:rPr>
      </w:pPr>
      <w:r>
        <w:rPr>
          <w:color w:val="000000"/>
          <w:kern w:val="0"/>
          <w:szCs w:val="21"/>
          <w:highlight w:val="none"/>
          <w:lang w:bidi="en-US"/>
        </w:rPr>
        <w:t xml:space="preserve">- 气体流速：8 </w:t>
      </w:r>
      <w:r>
        <w:rPr>
          <w:rFonts w:hint="eastAsia"/>
          <w:color w:val="000000"/>
          <w:kern w:val="0"/>
          <w:szCs w:val="21"/>
          <w:highlight w:val="none"/>
          <w:lang w:eastAsia="zh-CN" w:bidi="en-US"/>
        </w:rPr>
        <w:t>L</w:t>
      </w:r>
      <w:r>
        <w:rPr>
          <w:color w:val="000000"/>
          <w:kern w:val="0"/>
          <w:szCs w:val="21"/>
          <w:highlight w:val="none"/>
          <w:lang w:bidi="en-US"/>
        </w:rPr>
        <w:t>/min。</w:t>
      </w:r>
    </w:p>
    <w:p>
      <w:pPr>
        <w:ind w:firstLine="420" w:firstLineChars="200"/>
        <w:rPr>
          <w:kern w:val="0"/>
          <w:szCs w:val="21"/>
        </w:rPr>
      </w:pPr>
      <w:r>
        <w:rPr>
          <w:kern w:val="0"/>
          <w:szCs w:val="21"/>
        </w:rPr>
        <w:t>附录B中的色谱图（见图B.3）给出了HPLC-MS分析示例。</w:t>
      </w:r>
    </w:p>
    <w:p>
      <w:pPr>
        <w:pStyle w:val="47"/>
        <w:rPr>
          <w:highlight w:val="none"/>
        </w:rPr>
      </w:pPr>
      <w:bookmarkStart w:id="42" w:name="bookmark36"/>
      <w:r>
        <w:rPr>
          <w:highlight w:val="none"/>
        </w:rPr>
        <w:t xml:space="preserve">A.5.4 </w:t>
      </w:r>
      <w:bookmarkEnd w:id="42"/>
      <w:r>
        <w:rPr>
          <w:rFonts w:hint="eastAsia"/>
          <w:highlight w:val="none"/>
          <w:lang w:val="en-US" w:eastAsia="zh-CN"/>
        </w:rPr>
        <w:t>标准储备液</w:t>
      </w:r>
    </w:p>
    <w:p>
      <w:pPr>
        <w:ind w:firstLine="420" w:firstLineChars="200"/>
        <w:rPr>
          <w:kern w:val="0"/>
          <w:szCs w:val="21"/>
        </w:rPr>
      </w:pPr>
      <w:r>
        <w:rPr>
          <w:rFonts w:hint="eastAsia"/>
          <w:kern w:val="0"/>
          <w:szCs w:val="21"/>
        </w:rPr>
        <w:t>使用甲醇作为溶剂，</w:t>
      </w:r>
      <w:r>
        <w:rPr>
          <w:rFonts w:hint="eastAsia"/>
          <w:kern w:val="0"/>
          <w:szCs w:val="21"/>
          <w:lang w:val="en-US" w:eastAsia="zh-CN"/>
        </w:rPr>
        <w:t>配制成总浓度为</w:t>
      </w:r>
      <w:r>
        <w:rPr>
          <w:rFonts w:hint="eastAsia"/>
          <w:kern w:val="0"/>
          <w:szCs w:val="21"/>
        </w:rPr>
        <w:t>100</w:t>
      </w:r>
      <w:r>
        <w:rPr>
          <w:rFonts w:hint="eastAsia"/>
          <w:kern w:val="0"/>
          <w:szCs w:val="21"/>
          <w:lang w:val="en-US" w:eastAsia="zh-CN"/>
        </w:rPr>
        <w:t xml:space="preserve"> </w:t>
      </w:r>
      <w:r>
        <w:rPr>
          <w:kern w:val="0"/>
          <w:szCs w:val="21"/>
        </w:rPr>
        <w:t>μg/</w:t>
      </w:r>
      <w:r>
        <w:rPr>
          <w:rFonts w:hint="eastAsia"/>
          <w:kern w:val="0"/>
          <w:szCs w:val="21"/>
          <w:lang w:eastAsia="zh-CN"/>
        </w:rPr>
        <w:t>mL</w:t>
      </w:r>
      <w:r>
        <w:rPr>
          <w:rFonts w:hint="eastAsia"/>
          <w:kern w:val="0"/>
          <w:szCs w:val="21"/>
          <w:lang w:val="en-US" w:eastAsia="zh-CN"/>
        </w:rPr>
        <w:t>的</w:t>
      </w:r>
      <w:r>
        <w:rPr>
          <w:kern w:val="0"/>
          <w:szCs w:val="21"/>
        </w:rPr>
        <w:t>六溴环十二烷</w:t>
      </w:r>
      <w:r>
        <w:rPr>
          <w:rFonts w:hint="eastAsia"/>
          <w:kern w:val="0"/>
          <w:szCs w:val="21"/>
        </w:rPr>
        <w:t>标准储备液。表A.2给出了适合HPLC-MS分析的HBCDD标准物质</w:t>
      </w:r>
      <w:r>
        <w:rPr>
          <w:kern w:val="0"/>
          <w:szCs w:val="21"/>
        </w:rPr>
        <w:t>。</w:t>
      </w:r>
      <w:r>
        <w:rPr>
          <w:rFonts w:hint="eastAsia"/>
          <w:kern w:val="0"/>
          <w:szCs w:val="21"/>
          <w:lang w:val="en-US" w:eastAsia="zh-CN"/>
        </w:rPr>
        <w:t>也可使用合适浓度的</w:t>
      </w:r>
      <w:r>
        <w:rPr>
          <w:kern w:val="0"/>
          <w:szCs w:val="21"/>
        </w:rPr>
        <w:t>六溴环十二烷</w:t>
      </w:r>
      <w:r>
        <w:rPr>
          <w:rFonts w:hint="eastAsia"/>
          <w:kern w:val="0"/>
          <w:szCs w:val="21"/>
          <w:lang w:val="en-US" w:eastAsia="zh-CN"/>
        </w:rPr>
        <w:t>有证标准物质。</w:t>
      </w:r>
    </w:p>
    <w:p>
      <w:pPr>
        <w:spacing w:before="156" w:beforeLines="50" w:after="156" w:afterLines="50"/>
        <w:jc w:val="center"/>
        <w:rPr>
          <w:b/>
          <w:bCs/>
          <w:szCs w:val="21"/>
        </w:rPr>
      </w:pPr>
      <w:bookmarkStart w:id="43" w:name="bookmark37"/>
      <w:r>
        <w:rPr>
          <w:b/>
          <w:bCs/>
          <w:szCs w:val="21"/>
        </w:rPr>
        <w:t>表A.2适合HPLC-MS分析的市售HBCDD标准物质</w:t>
      </w:r>
      <w:bookmarkEnd w:id="43"/>
    </w:p>
    <w:tbl>
      <w:tblPr>
        <w:tblStyle w:val="37"/>
        <w:tblW w:w="9468" w:type="dxa"/>
        <w:tblInd w:w="0" w:type="dxa"/>
        <w:tblLayout w:type="fixed"/>
        <w:tblCellMar>
          <w:top w:w="0" w:type="dxa"/>
          <w:left w:w="57" w:type="dxa"/>
          <w:bottom w:w="0" w:type="dxa"/>
          <w:right w:w="57" w:type="dxa"/>
        </w:tblCellMar>
      </w:tblPr>
      <w:tblGrid>
        <w:gridCol w:w="6691"/>
        <w:gridCol w:w="2777"/>
      </w:tblGrid>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化合物名称</w:t>
            </w:r>
          </w:p>
        </w:tc>
        <w:tc>
          <w:tcPr>
            <w:tcW w:w="2777"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CAS编号</w:t>
            </w:r>
          </w:p>
        </w:tc>
      </w:tr>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α-六溴环十二烷</w:t>
            </w:r>
          </w:p>
        </w:tc>
        <w:tc>
          <w:tcPr>
            <w:tcW w:w="2777"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134237-50-6</w:t>
            </w:r>
          </w:p>
        </w:tc>
      </w:tr>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β-六溴环十二烷</w:t>
            </w:r>
          </w:p>
        </w:tc>
        <w:tc>
          <w:tcPr>
            <w:tcW w:w="2777"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134237-51-7</w:t>
            </w:r>
          </w:p>
        </w:tc>
      </w:tr>
      <w:tr>
        <w:tblPrEx>
          <w:tblCellMar>
            <w:top w:w="0" w:type="dxa"/>
            <w:left w:w="57" w:type="dxa"/>
            <w:bottom w:w="0" w:type="dxa"/>
            <w:right w:w="57" w:type="dxa"/>
          </w:tblCellMar>
        </w:tblPrEx>
        <w:tc>
          <w:tcPr>
            <w:tcW w:w="6691"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γ-六溴环十二烷</w:t>
            </w:r>
          </w:p>
        </w:tc>
        <w:tc>
          <w:tcPr>
            <w:tcW w:w="2777"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134237-52-8</w:t>
            </w:r>
          </w:p>
        </w:tc>
      </w:tr>
      <w:tr>
        <w:tblPrEx>
          <w:tblCellMar>
            <w:top w:w="0" w:type="dxa"/>
            <w:left w:w="57" w:type="dxa"/>
            <w:bottom w:w="0" w:type="dxa"/>
            <w:right w:w="57" w:type="dxa"/>
          </w:tblCellMar>
        </w:tblPrEx>
        <w:tc>
          <w:tcPr>
            <w:tcW w:w="6691"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α-六溴环十二烷、β-六溴环十二烷和γ-六溴环十二烷的混合标准品</w:t>
            </w:r>
          </w:p>
        </w:tc>
        <w:tc>
          <w:tcPr>
            <w:tcW w:w="277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 xml:space="preserve">25637-99-4 </w:t>
            </w:r>
          </w:p>
          <w:p>
            <w:pPr>
              <w:jc w:val="center"/>
              <w:rPr>
                <w:color w:val="000000"/>
                <w:kern w:val="0"/>
                <w:szCs w:val="21"/>
                <w:lang w:bidi="en-US"/>
              </w:rPr>
            </w:pPr>
            <w:r>
              <w:rPr>
                <w:color w:val="000000"/>
                <w:kern w:val="0"/>
                <w:szCs w:val="21"/>
                <w:lang w:bidi="en-US"/>
              </w:rPr>
              <w:t>和3194-55-6</w:t>
            </w:r>
          </w:p>
        </w:tc>
      </w:tr>
    </w:tbl>
    <w:p>
      <w:pPr>
        <w:pStyle w:val="47"/>
      </w:pPr>
      <w:bookmarkStart w:id="44" w:name="bookmark38"/>
      <w:r>
        <w:t>A.5.5 校准</w:t>
      </w:r>
      <w:bookmarkEnd w:id="44"/>
    </w:p>
    <w:p>
      <w:pPr>
        <w:pStyle w:val="47"/>
      </w:pPr>
      <w:bookmarkStart w:id="45" w:name="bookmark39"/>
      <w:r>
        <w:t>A.5.5.1 总述</w:t>
      </w:r>
      <w:bookmarkEnd w:id="45"/>
    </w:p>
    <w:p>
      <w:pPr>
        <w:ind w:firstLine="420" w:firstLineChars="200"/>
        <w:rPr>
          <w:kern w:val="0"/>
          <w:szCs w:val="21"/>
        </w:rPr>
      </w:pPr>
      <w:r>
        <w:rPr>
          <w:kern w:val="0"/>
          <w:szCs w:val="21"/>
        </w:rPr>
        <w:t>在可能的情况下，样品和标准溶液应采用相同溶剂，以避免发生任何可能的溶剂效应。应针对定量分析制定校准曲线。</w:t>
      </w:r>
      <w:r>
        <w:rPr>
          <w:rFonts w:hint="default"/>
          <w:kern w:val="0"/>
          <w:szCs w:val="21"/>
          <w:lang w:val="en-US" w:eastAsia="zh-CN"/>
        </w:rPr>
        <w:t>至少配制5个等梯度的标准溶液,以峰面积进行定量。</w:t>
      </w:r>
      <w:r>
        <w:rPr>
          <w:kern w:val="0"/>
          <w:szCs w:val="21"/>
        </w:rPr>
        <w:t>每条校准曲线的线性回归拟合的相对标准偏差（RSD）应小于或等于线性校准函数的15％。</w:t>
      </w:r>
    </w:p>
    <w:p>
      <w:pPr>
        <w:ind w:firstLine="360" w:firstLineChars="200"/>
        <w:rPr>
          <w:kern w:val="0"/>
          <w:szCs w:val="21"/>
        </w:rPr>
      </w:pPr>
      <w:r>
        <w:rPr>
          <w:rFonts w:hint="eastAsia" w:ascii="黑体" w:hAnsi="黑体" w:eastAsia="黑体" w:cs="黑体"/>
          <w:kern w:val="0"/>
          <w:sz w:val="18"/>
          <w:szCs w:val="18"/>
        </w:rPr>
        <w:t>注：</w:t>
      </w:r>
      <w:r>
        <w:rPr>
          <w:rFonts w:hint="eastAsia" w:ascii="Times New Roman" w:hAnsi="Times New Roman" w:eastAsia="宋体" w:cs="Times New Roman"/>
          <w:kern w:val="0"/>
          <w:sz w:val="18"/>
          <w:szCs w:val="18"/>
        </w:rPr>
        <w:t>线性回归校准是最理想方式。在无法满足线性回归拟合的要求（相对标准偏差（RSD）小于或等于15%）的情况下，如果另一种统计处理方法（例如，相关系数或曲线拟合度为0.995或更佳）能证明可接受性，则适合使用多项式校准。</w:t>
      </w:r>
    </w:p>
    <w:p>
      <w:pPr>
        <w:pStyle w:val="47"/>
      </w:pPr>
      <w:r>
        <w:t xml:space="preserve">A.5.5.2 </w:t>
      </w:r>
      <w:r>
        <w:rPr>
          <w:rFonts w:hint="eastAsia"/>
          <w:lang w:val="en-US" w:eastAsia="zh-CN"/>
        </w:rPr>
        <w:t>校准</w:t>
      </w:r>
      <w:r>
        <w:t>溶液</w:t>
      </w:r>
    </w:p>
    <w:p>
      <w:pPr>
        <w:ind w:firstLine="420" w:firstLineChars="200"/>
        <w:rPr>
          <w:kern w:val="0"/>
          <w:szCs w:val="21"/>
        </w:rPr>
      </w:pPr>
      <w:r>
        <w:rPr>
          <w:rFonts w:hint="eastAsia"/>
          <w:kern w:val="0"/>
          <w:szCs w:val="21"/>
          <w:lang w:val="en-US" w:eastAsia="zh-CN"/>
        </w:rPr>
        <w:t>用</w:t>
      </w:r>
      <w:r>
        <w:rPr>
          <w:kern w:val="0"/>
          <w:szCs w:val="21"/>
        </w:rPr>
        <w:t>A</w:t>
      </w:r>
      <w:r>
        <w:rPr>
          <w:rFonts w:hint="eastAsia"/>
          <w:kern w:val="0"/>
          <w:szCs w:val="21"/>
          <w:lang w:val="en-US" w:eastAsia="zh-CN"/>
        </w:rPr>
        <w:t>.5.4中的标准</w:t>
      </w:r>
      <w:r>
        <w:rPr>
          <w:rFonts w:hint="eastAsia"/>
          <w:kern w:val="0"/>
          <w:szCs w:val="21"/>
        </w:rPr>
        <w:t>储备溶液</w:t>
      </w:r>
      <w:r>
        <w:rPr>
          <w:rFonts w:hint="eastAsia"/>
          <w:kern w:val="0"/>
          <w:szCs w:val="21"/>
          <w:lang w:val="en-US" w:eastAsia="zh-CN"/>
        </w:rPr>
        <w:t>配制</w:t>
      </w:r>
      <w:r>
        <w:rPr>
          <w:rFonts w:hint="eastAsia"/>
          <w:kern w:val="0"/>
          <w:szCs w:val="21"/>
        </w:rPr>
        <w:t>表</w:t>
      </w:r>
      <w:r>
        <w:rPr>
          <w:kern w:val="0"/>
          <w:szCs w:val="21"/>
        </w:rPr>
        <w:t>A.3</w:t>
      </w:r>
      <w:r>
        <w:rPr>
          <w:rFonts w:hint="eastAsia"/>
          <w:kern w:val="0"/>
          <w:szCs w:val="21"/>
        </w:rPr>
        <w:t>所示</w:t>
      </w:r>
      <w:r>
        <w:rPr>
          <w:rFonts w:hint="eastAsia"/>
          <w:kern w:val="0"/>
          <w:szCs w:val="21"/>
          <w:lang w:val="en-US" w:eastAsia="zh-CN"/>
        </w:rPr>
        <w:t>系列</w:t>
      </w:r>
      <w:r>
        <w:rPr>
          <w:rFonts w:hint="eastAsia"/>
          <w:kern w:val="0"/>
          <w:szCs w:val="21"/>
        </w:rPr>
        <w:t>浓度的标准溶液</w:t>
      </w:r>
      <w:r>
        <w:rPr>
          <w:kern w:val="0"/>
          <w:szCs w:val="21"/>
        </w:rPr>
        <w:t>，使用混合溶剂（A.2.g</w:t>
      </w:r>
      <w:r>
        <w:rPr>
          <w:rFonts w:hint="eastAsia"/>
          <w:kern w:val="0"/>
          <w:szCs w:val="21"/>
          <w:lang w:val="en-US" w:eastAsia="zh-CN"/>
        </w:rPr>
        <w:t>)</w:t>
      </w:r>
      <w:r>
        <w:rPr>
          <w:kern w:val="0"/>
          <w:szCs w:val="21"/>
        </w:rPr>
        <w:t>）作为稀释剂。</w:t>
      </w:r>
    </w:p>
    <w:p>
      <w:pPr>
        <w:spacing w:before="156" w:beforeLines="50" w:after="156" w:afterLines="50"/>
        <w:jc w:val="center"/>
        <w:rPr>
          <w:b/>
          <w:bCs/>
          <w:szCs w:val="21"/>
        </w:rPr>
      </w:pPr>
      <w:bookmarkStart w:id="46" w:name="bookmark40"/>
      <w:r>
        <w:rPr>
          <w:b/>
          <w:bCs/>
          <w:szCs w:val="21"/>
        </w:rPr>
        <w:t>表A.3</w:t>
      </w:r>
      <w:r>
        <w:rPr>
          <w:rFonts w:hint="eastAsia"/>
          <w:b/>
          <w:bCs/>
          <w:szCs w:val="21"/>
          <w:lang w:val="en-US" w:eastAsia="zh-CN"/>
        </w:rPr>
        <w:t xml:space="preserve"> </w:t>
      </w:r>
      <w:r>
        <w:rPr>
          <w:b/>
          <w:bCs/>
          <w:szCs w:val="21"/>
        </w:rPr>
        <w:t>HBCDD的校准溶液</w:t>
      </w:r>
      <w:bookmarkEnd w:id="46"/>
    </w:p>
    <w:tbl>
      <w:tblPr>
        <w:tblStyle w:val="37"/>
        <w:tblW w:w="9468" w:type="dxa"/>
        <w:tblInd w:w="0" w:type="dxa"/>
        <w:tblLayout w:type="fixed"/>
        <w:tblCellMar>
          <w:top w:w="0" w:type="dxa"/>
          <w:left w:w="57" w:type="dxa"/>
          <w:bottom w:w="0" w:type="dxa"/>
          <w:right w:w="57" w:type="dxa"/>
        </w:tblCellMar>
      </w:tblPr>
      <w:tblGrid>
        <w:gridCol w:w="4734"/>
        <w:gridCol w:w="4734"/>
      </w:tblGrid>
      <w:tr>
        <w:tblPrEx>
          <w:tblCellMar>
            <w:top w:w="0" w:type="dxa"/>
            <w:left w:w="57" w:type="dxa"/>
            <w:bottom w:w="0" w:type="dxa"/>
            <w:right w:w="57" w:type="dxa"/>
          </w:tblCellMar>
        </w:tblPrEx>
        <w:tc>
          <w:tcPr>
            <w:tcW w:w="4734"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 xml:space="preserve">标准溶液 </w:t>
            </w:r>
          </w:p>
          <w:p>
            <w:pPr>
              <w:jc w:val="center"/>
              <w:rPr>
                <w:b/>
                <w:color w:val="000000"/>
                <w:kern w:val="0"/>
                <w:szCs w:val="21"/>
                <w:lang w:bidi="en-US"/>
              </w:rPr>
            </w:pPr>
            <w:r>
              <w:rPr>
                <w:b/>
                <w:color w:val="000000"/>
                <w:kern w:val="0"/>
                <w:szCs w:val="21"/>
                <w:lang w:bidi="en-US"/>
              </w:rPr>
              <w:t>编号</w:t>
            </w:r>
          </w:p>
        </w:tc>
        <w:tc>
          <w:tcPr>
            <w:tcW w:w="4734" w:type="dxa"/>
            <w:tcBorders>
              <w:top w:val="single" w:color="auto" w:sz="4" w:space="0"/>
              <w:left w:val="single" w:color="auto" w:sz="4" w:space="0"/>
              <w:righ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HBCDD化合物最终浓度</w:t>
            </w:r>
          </w:p>
          <w:p>
            <w:pPr>
              <w:jc w:val="center"/>
              <w:rPr>
                <w:b/>
                <w:color w:val="000000"/>
                <w:kern w:val="0"/>
                <w:szCs w:val="21"/>
                <w:lang w:bidi="en-US"/>
              </w:rPr>
            </w:pPr>
            <w:r>
              <w:rPr>
                <w:b/>
                <w:color w:val="000000"/>
                <w:kern w:val="0"/>
                <w:szCs w:val="21"/>
                <w:lang w:bidi="en-US"/>
              </w:rPr>
              <w:t>（μg/</w:t>
            </w:r>
            <w:r>
              <w:rPr>
                <w:rFonts w:hint="eastAsia"/>
                <w:b/>
                <w:color w:val="000000"/>
                <w:kern w:val="0"/>
                <w:szCs w:val="21"/>
                <w:lang w:eastAsia="zh-CN" w:bidi="en-US"/>
              </w:rPr>
              <w:t>mL</w:t>
            </w:r>
            <w:r>
              <w:rPr>
                <w:b/>
                <w:color w:val="000000"/>
                <w:kern w:val="0"/>
                <w:szCs w:val="21"/>
                <w:lang w:bidi="en-US"/>
              </w:rPr>
              <w:t>）</w:t>
            </w:r>
          </w:p>
        </w:tc>
      </w:tr>
      <w:tr>
        <w:tblPrEx>
          <w:tblCellMar>
            <w:top w:w="0" w:type="dxa"/>
            <w:left w:w="57" w:type="dxa"/>
            <w:bottom w:w="0" w:type="dxa"/>
            <w:right w:w="57" w:type="dxa"/>
          </w:tblCellMar>
        </w:tblPrEx>
        <w:tc>
          <w:tcPr>
            <w:tcW w:w="473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w:t>
            </w:r>
          </w:p>
        </w:tc>
        <w:tc>
          <w:tcPr>
            <w:tcW w:w="4734"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0</w:t>
            </w:r>
            <w:r>
              <w:rPr>
                <w:rFonts w:hint="eastAsia"/>
                <w:color w:val="000000"/>
                <w:kern w:val="0"/>
                <w:szCs w:val="21"/>
                <w:lang w:val="en-US" w:eastAsia="zh-CN" w:bidi="en-US"/>
              </w:rPr>
              <w:t>.</w:t>
            </w:r>
            <w:r>
              <w:rPr>
                <w:color w:val="000000"/>
                <w:kern w:val="0"/>
                <w:szCs w:val="21"/>
                <w:lang w:bidi="en-US"/>
              </w:rPr>
              <w:t>5</w:t>
            </w:r>
          </w:p>
        </w:tc>
      </w:tr>
      <w:tr>
        <w:tblPrEx>
          <w:tblCellMar>
            <w:top w:w="0" w:type="dxa"/>
            <w:left w:w="57" w:type="dxa"/>
            <w:bottom w:w="0" w:type="dxa"/>
            <w:right w:w="57" w:type="dxa"/>
          </w:tblCellMar>
        </w:tblPrEx>
        <w:tc>
          <w:tcPr>
            <w:tcW w:w="473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w:t>
            </w:r>
          </w:p>
        </w:tc>
        <w:tc>
          <w:tcPr>
            <w:tcW w:w="4734"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w:t>
            </w:r>
            <w:r>
              <w:rPr>
                <w:rFonts w:hint="eastAsia"/>
                <w:color w:val="000000"/>
                <w:kern w:val="0"/>
                <w:szCs w:val="21"/>
                <w:lang w:val="en-US" w:eastAsia="zh-CN" w:bidi="en-US"/>
              </w:rPr>
              <w:t>.</w:t>
            </w:r>
            <w:r>
              <w:rPr>
                <w:color w:val="000000"/>
                <w:kern w:val="0"/>
                <w:szCs w:val="21"/>
                <w:lang w:bidi="en-US"/>
              </w:rPr>
              <w:t>0</w:t>
            </w:r>
          </w:p>
        </w:tc>
      </w:tr>
      <w:tr>
        <w:tblPrEx>
          <w:tblCellMar>
            <w:top w:w="0" w:type="dxa"/>
            <w:left w:w="57" w:type="dxa"/>
            <w:bottom w:w="0" w:type="dxa"/>
            <w:right w:w="57" w:type="dxa"/>
          </w:tblCellMar>
        </w:tblPrEx>
        <w:tc>
          <w:tcPr>
            <w:tcW w:w="473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w:t>
            </w:r>
          </w:p>
        </w:tc>
        <w:tc>
          <w:tcPr>
            <w:tcW w:w="4734"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w:t>
            </w:r>
            <w:r>
              <w:rPr>
                <w:rFonts w:hint="eastAsia"/>
                <w:color w:val="000000"/>
                <w:kern w:val="0"/>
                <w:szCs w:val="21"/>
                <w:lang w:val="en-US" w:eastAsia="zh-CN" w:bidi="en-US"/>
              </w:rPr>
              <w:t>.</w:t>
            </w:r>
            <w:r>
              <w:rPr>
                <w:color w:val="000000"/>
                <w:kern w:val="0"/>
                <w:szCs w:val="21"/>
                <w:lang w:bidi="en-US"/>
              </w:rPr>
              <w:t>5</w:t>
            </w:r>
          </w:p>
        </w:tc>
      </w:tr>
      <w:tr>
        <w:tblPrEx>
          <w:tblCellMar>
            <w:top w:w="0" w:type="dxa"/>
            <w:left w:w="57" w:type="dxa"/>
            <w:bottom w:w="0" w:type="dxa"/>
            <w:right w:w="57" w:type="dxa"/>
          </w:tblCellMar>
        </w:tblPrEx>
        <w:tc>
          <w:tcPr>
            <w:tcW w:w="473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4</w:t>
            </w:r>
          </w:p>
        </w:tc>
        <w:tc>
          <w:tcPr>
            <w:tcW w:w="4734"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w:t>
            </w:r>
            <w:r>
              <w:rPr>
                <w:rFonts w:hint="eastAsia"/>
                <w:color w:val="000000"/>
                <w:kern w:val="0"/>
                <w:szCs w:val="21"/>
                <w:lang w:val="en-US" w:eastAsia="zh-CN" w:bidi="en-US"/>
              </w:rPr>
              <w:t>.</w:t>
            </w:r>
            <w:r>
              <w:rPr>
                <w:color w:val="000000"/>
                <w:kern w:val="0"/>
                <w:szCs w:val="21"/>
                <w:lang w:bidi="en-US"/>
              </w:rPr>
              <w:t>0</w:t>
            </w:r>
          </w:p>
        </w:tc>
      </w:tr>
      <w:tr>
        <w:tblPrEx>
          <w:tblCellMar>
            <w:top w:w="0" w:type="dxa"/>
            <w:left w:w="57" w:type="dxa"/>
            <w:bottom w:w="0" w:type="dxa"/>
            <w:right w:w="57" w:type="dxa"/>
          </w:tblCellMar>
        </w:tblPrEx>
        <w:tc>
          <w:tcPr>
            <w:tcW w:w="4734"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w:t>
            </w:r>
          </w:p>
        </w:tc>
        <w:tc>
          <w:tcPr>
            <w:tcW w:w="473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w:t>
            </w:r>
          </w:p>
        </w:tc>
      </w:tr>
    </w:tbl>
    <w:p>
      <w:pPr>
        <w:rPr>
          <w:color w:val="000000"/>
          <w:kern w:val="0"/>
          <w:szCs w:val="21"/>
          <w:lang w:bidi="en-US"/>
        </w:rPr>
      </w:pPr>
      <w:r>
        <w:rPr>
          <w:color w:val="000000"/>
          <w:kern w:val="0"/>
          <w:szCs w:val="21"/>
          <w:lang w:bidi="en-US"/>
        </w:rPr>
        <w:t>注：实验室可以根据需要制备不同浓度的校准溶液。</w:t>
      </w:r>
    </w:p>
    <w:p>
      <w:pPr>
        <w:rPr>
          <w:color w:val="000000"/>
          <w:kern w:val="0"/>
          <w:szCs w:val="21"/>
          <w:lang w:bidi="en-US"/>
        </w:rPr>
      </w:pPr>
      <w:r>
        <w:rPr>
          <w:color w:val="000000"/>
          <w:kern w:val="0"/>
          <w:szCs w:val="21"/>
          <w:lang w:bidi="en-US"/>
        </w:rPr>
        <w:t>使用</w:t>
      </w:r>
      <w:r>
        <w:rPr>
          <w:rFonts w:hint="eastAsia"/>
          <w:color w:val="000000"/>
          <w:kern w:val="0"/>
          <w:szCs w:val="21"/>
          <w:lang w:eastAsia="zh-CN" w:bidi="en-US"/>
        </w:rPr>
        <w:t>公式</w:t>
      </w:r>
      <w:r>
        <w:rPr>
          <w:color w:val="000000"/>
          <w:kern w:val="0"/>
          <w:szCs w:val="21"/>
          <w:lang w:bidi="en-US"/>
        </w:rPr>
        <w:t>（A.1）完成线性回归：</w:t>
      </w:r>
    </w:p>
    <w:p>
      <w:pPr>
        <w:tabs>
          <w:tab w:val="left" w:pos="4678"/>
        </w:tabs>
        <w:adjustRightInd w:val="0"/>
        <w:snapToGrid w:val="0"/>
        <w:spacing w:before="156" w:beforeLines="50" w:after="156" w:afterLines="50"/>
        <w:jc w:val="right"/>
        <w:rPr>
          <w:color w:val="000000"/>
          <w:kern w:val="0"/>
          <w:szCs w:val="21"/>
          <w:lang w:bidi="en-US"/>
        </w:rPr>
      </w:pPr>
      <w:r>
        <w:rPr>
          <w:rFonts w:ascii="Cambria Math" w:hAnsi="Cambria Math"/>
          <w:b w:val="0"/>
          <w:i w:val="0"/>
          <w:color w:val="000000"/>
          <w:kern w:val="0"/>
          <w:position w:val="-10"/>
          <w:szCs w:val="21"/>
          <w:lang w:bidi="en-US"/>
        </w:rPr>
        <w:object>
          <v:shape id="_x0000_i1033" o:spt="75" type="#_x0000_t75" style="height:16pt;width:51pt;" o:ole="t" filled="f" o:preferrelative="t" stroked="f" coordsize="21600,21600">
            <v:path/>
            <v:fill on="f" focussize="0,0"/>
            <v:stroke on="f"/>
            <v:imagedata r:id="rId18" o:title=""/>
            <o:lock v:ext="edit" aspectratio="t"/>
            <w10:wrap type="none"/>
            <w10:anchorlock/>
          </v:shape>
          <o:OLEObject Type="Embed" ProgID="Equation.KSEE3" ShapeID="_x0000_i1033" DrawAspect="Content" ObjectID="_1468075733" r:id="rId31">
            <o:LockedField>false</o:LockedField>
          </o:OLEObject>
        </w:object>
      </w:r>
      <w:r>
        <w:rPr>
          <w:rFonts w:hint="eastAsia" w:ascii="Cambria Math" w:hAnsi="Cambria Math"/>
          <w:b w:val="0"/>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iCs/>
          <w:color w:val="000000"/>
          <w:kern w:val="0"/>
          <w:szCs w:val="21"/>
          <w:lang w:val="en-US" w:eastAsia="zh-CN" w:bidi="en-US"/>
        </w:rPr>
        <w:t>（</w:t>
      </w:r>
      <w:r>
        <w:rPr>
          <w:iCs/>
          <w:color w:val="000000"/>
          <w:kern w:val="0"/>
          <w:szCs w:val="21"/>
          <w:lang w:bidi="en-US"/>
        </w:rPr>
        <w:t>A.1</w:t>
      </w:r>
      <w:r>
        <w:rPr>
          <w:rStyle w:val="178"/>
          <w:rFonts w:hint="eastAsia" w:ascii="Times New Roman" w:hAnsi="Times New Roman" w:eastAsia="宋体" w:cs="Times New Roman"/>
          <w:color w:val="000000"/>
          <w:sz w:val="21"/>
          <w:szCs w:val="21"/>
          <w:highlight w:val="none"/>
          <w:lang w:val="en-US" w:eastAsia="zh-CN"/>
        </w:rPr>
        <w:t>）</w:t>
      </w:r>
    </w:p>
    <w:p>
      <w:pPr>
        <w:tabs>
          <w:tab w:val="left" w:pos="4678"/>
        </w:tabs>
        <w:adjustRightInd w:val="0"/>
        <w:snapToGrid w:val="0"/>
        <w:spacing w:before="156" w:beforeLines="50" w:after="156" w:afterLines="50"/>
        <w:jc w:val="right"/>
        <w:rPr>
          <w:iCs/>
          <w:color w:val="000000"/>
          <w:kern w:val="0"/>
          <w:szCs w:val="21"/>
          <w:lang w:bidi="en-US"/>
        </w:rPr>
      </w:pPr>
      <w:r>
        <w:rPr>
          <w:iCs/>
          <w:color w:val="000000"/>
          <w:kern w:val="0"/>
          <w:szCs w:val="21"/>
          <w:lang w:bidi="en-US"/>
        </w:rPr>
        <w:tab/>
      </w:r>
    </w:p>
    <w:p>
      <w:pPr>
        <w:ind w:firstLine="420" w:firstLineChars="200"/>
        <w:rPr>
          <w:color w:val="000000"/>
          <w:kern w:val="0"/>
          <w:szCs w:val="21"/>
          <w:lang w:bidi="en-US"/>
        </w:rPr>
      </w:pPr>
      <w:r>
        <w:rPr>
          <w:color w:val="000000"/>
          <w:kern w:val="0"/>
          <w:szCs w:val="21"/>
          <w:lang w:bidi="en-US"/>
        </w:rPr>
        <w:t>式中：</w:t>
      </w:r>
    </w:p>
    <w:p>
      <w:pPr>
        <w:ind w:firstLine="420" w:firstLineChars="200"/>
        <w:rPr>
          <w:iCs/>
          <w:kern w:val="0"/>
          <w:szCs w:val="21"/>
        </w:rPr>
      </w:pPr>
      <w:r>
        <w:rPr>
          <w:i/>
          <w:iCs/>
          <w:kern w:val="0"/>
          <w:szCs w:val="21"/>
        </w:rPr>
        <w:t>y</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校准品峰面积；</w:t>
      </w:r>
    </w:p>
    <w:p>
      <w:pPr>
        <w:ind w:firstLine="420" w:firstLineChars="200"/>
        <w:rPr>
          <w:iCs/>
          <w:kern w:val="0"/>
          <w:szCs w:val="21"/>
        </w:rPr>
      </w:pPr>
      <w:r>
        <w:rPr>
          <w:i/>
          <w:iCs/>
          <w:kern w:val="0"/>
          <w:szCs w:val="21"/>
        </w:rPr>
        <w:t>x</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校准品的绝对量，单位为毫克</w:t>
      </w:r>
      <w:r>
        <w:rPr>
          <w:rFonts w:hint="eastAsia"/>
          <w:kern w:val="0"/>
          <w:szCs w:val="21"/>
          <w:lang w:eastAsia="zh-CN"/>
        </w:rPr>
        <w:t>（</w:t>
      </w:r>
      <w:r>
        <w:rPr>
          <w:rFonts w:hint="eastAsia"/>
          <w:kern w:val="0"/>
          <w:szCs w:val="21"/>
          <w:lang w:val="en-US" w:eastAsia="zh-CN"/>
        </w:rPr>
        <w:t>m</w:t>
      </w:r>
      <w:r>
        <w:rPr>
          <w:kern w:val="0"/>
          <w:szCs w:val="21"/>
        </w:rPr>
        <w:t>g</w:t>
      </w:r>
      <w:r>
        <w:rPr>
          <w:rFonts w:hint="eastAsia"/>
          <w:kern w:val="0"/>
          <w:szCs w:val="21"/>
          <w:lang w:eastAsia="zh-CN"/>
        </w:rPr>
        <w:t>）</w:t>
      </w:r>
      <w:r>
        <w:rPr>
          <w:iCs/>
          <w:kern w:val="0"/>
          <w:szCs w:val="21"/>
        </w:rPr>
        <w:t xml:space="preserve">； </w:t>
      </w:r>
    </w:p>
    <w:p>
      <w:pPr>
        <w:ind w:firstLine="420" w:firstLineChars="200"/>
        <w:rPr>
          <w:iCs/>
          <w:kern w:val="0"/>
          <w:szCs w:val="21"/>
        </w:rPr>
      </w:pPr>
      <w:r>
        <w:rPr>
          <w:i/>
          <w:iCs/>
          <w:kern w:val="0"/>
          <w:szCs w:val="21"/>
        </w:rPr>
        <w:t xml:space="preserve">a </w:t>
      </w:r>
      <w:r>
        <w:rPr>
          <w:rStyle w:val="207"/>
          <w:rFonts w:ascii="Times New Roman" w:hAnsi="Times New Roman" w:cs="Times New Roman" w:eastAsiaTheme="minorEastAsia"/>
          <w:color w:val="000000"/>
          <w:sz w:val="18"/>
          <w:szCs w:val="18"/>
        </w:rPr>
        <w:t>——</w:t>
      </w:r>
      <w:r>
        <w:rPr>
          <w:iCs/>
          <w:kern w:val="0"/>
          <w:szCs w:val="21"/>
        </w:rPr>
        <w:t xml:space="preserve">校准曲线斜率； </w:t>
      </w:r>
    </w:p>
    <w:p>
      <w:pPr>
        <w:ind w:firstLine="420" w:firstLineChars="200"/>
        <w:rPr>
          <w:iCs/>
          <w:kern w:val="0"/>
          <w:szCs w:val="21"/>
        </w:rPr>
      </w:pPr>
      <w:r>
        <w:rPr>
          <w:i/>
          <w:iCs/>
          <w:kern w:val="0"/>
          <w:szCs w:val="21"/>
        </w:rPr>
        <w:t xml:space="preserve">b </w:t>
      </w:r>
      <w:r>
        <w:rPr>
          <w:rStyle w:val="207"/>
          <w:rFonts w:ascii="Times New Roman" w:hAnsi="Times New Roman" w:cs="Times New Roman" w:eastAsiaTheme="minorEastAsia"/>
          <w:color w:val="000000"/>
          <w:sz w:val="18"/>
          <w:szCs w:val="18"/>
        </w:rPr>
        <w:t>——</w:t>
      </w:r>
      <w:r>
        <w:rPr>
          <w:iCs/>
          <w:kern w:val="0"/>
          <w:szCs w:val="21"/>
        </w:rPr>
        <w:t>校准曲线y轴截距。</w:t>
      </w:r>
    </w:p>
    <w:p>
      <w:pPr>
        <w:pStyle w:val="47"/>
      </w:pPr>
      <w:r>
        <w:t>A.6 HBCDD浓度计算</w:t>
      </w:r>
    </w:p>
    <w:p>
      <w:pPr>
        <w:pStyle w:val="47"/>
      </w:pPr>
      <w:bookmarkStart w:id="47" w:name="bookmark41"/>
      <w:r>
        <w:t>A.6.1 总述</w:t>
      </w:r>
      <w:bookmarkEnd w:id="47"/>
    </w:p>
    <w:p>
      <w:pPr>
        <w:ind w:firstLine="420" w:firstLineChars="200"/>
        <w:rPr>
          <w:kern w:val="0"/>
          <w:szCs w:val="21"/>
        </w:rPr>
      </w:pPr>
      <w:r>
        <w:rPr>
          <w:kern w:val="0"/>
          <w:szCs w:val="21"/>
        </w:rPr>
        <w:t>只有检出的HBCDD化合物才应计入总和。</w:t>
      </w:r>
    </w:p>
    <w:p>
      <w:pPr>
        <w:ind w:firstLine="420" w:firstLineChars="200"/>
        <w:rPr>
          <w:kern w:val="0"/>
          <w:szCs w:val="21"/>
        </w:rPr>
      </w:pPr>
      <w:r>
        <w:rPr>
          <w:kern w:val="0"/>
          <w:szCs w:val="21"/>
        </w:rPr>
        <w:t>如果样品未检出HBCDD化合物，</w:t>
      </w:r>
      <w:r>
        <w:rPr>
          <w:rFonts w:hint="eastAsia"/>
          <w:kern w:val="0"/>
          <w:szCs w:val="21"/>
        </w:rPr>
        <w:t>应报告α-六溴环十二烷、β-六溴环十二烷和γ-六溴环十二烷</w:t>
      </w:r>
      <w:r>
        <w:rPr>
          <w:rFonts w:hint="eastAsia"/>
          <w:kern w:val="0"/>
          <w:szCs w:val="21"/>
          <w:lang w:val="en-US" w:eastAsia="zh-CN"/>
        </w:rPr>
        <w:t>中</w:t>
      </w:r>
      <w:r>
        <w:rPr>
          <w:rFonts w:hint="eastAsia"/>
          <w:kern w:val="0"/>
          <w:szCs w:val="21"/>
        </w:rPr>
        <w:t>方法检出限</w:t>
      </w:r>
      <w:r>
        <w:rPr>
          <w:rFonts w:hint="eastAsia"/>
          <w:kern w:val="0"/>
          <w:szCs w:val="21"/>
          <w:lang w:val="en-US" w:eastAsia="zh-CN"/>
        </w:rPr>
        <w:t>的最高值</w:t>
      </w:r>
      <w:r>
        <w:rPr>
          <w:rFonts w:hint="eastAsia"/>
          <w:kern w:val="0"/>
          <w:szCs w:val="21"/>
        </w:rPr>
        <w:t>作为H</w:t>
      </w:r>
      <w:r>
        <w:rPr>
          <w:kern w:val="0"/>
          <w:szCs w:val="21"/>
        </w:rPr>
        <w:t>BCDD</w:t>
      </w:r>
      <w:r>
        <w:rPr>
          <w:rFonts w:hint="eastAsia"/>
          <w:kern w:val="0"/>
          <w:szCs w:val="21"/>
        </w:rPr>
        <w:t>的检出限。</w:t>
      </w:r>
      <w:r>
        <w:rPr>
          <w:kern w:val="0"/>
          <w:szCs w:val="21"/>
        </w:rPr>
        <w:t>例如，如果α-HBCDD的方法检出限为20 mg/kg，β-HBCDD和γ-HBCDD为10 mg/kg，而样品中没有发现HBCDD化合物，则HBCDD总量应报告为&lt;20 mg/kg。对低于定量限（但高于检出限）的检出</w:t>
      </w:r>
      <w:r>
        <w:rPr>
          <w:rFonts w:hint="eastAsia"/>
          <w:kern w:val="0"/>
          <w:szCs w:val="21"/>
          <w:lang w:eastAsia="zh-CN"/>
        </w:rPr>
        <w:t>目标</w:t>
      </w:r>
      <w:r>
        <w:rPr>
          <w:kern w:val="0"/>
          <w:szCs w:val="21"/>
        </w:rPr>
        <w:t>物</w:t>
      </w:r>
      <w:r>
        <w:rPr>
          <w:rFonts w:hint="eastAsia"/>
          <w:kern w:val="0"/>
          <w:szCs w:val="21"/>
          <w:lang w:eastAsia="zh-CN"/>
        </w:rPr>
        <w:t>应将检出目标物的定量限进行</w:t>
      </w:r>
      <w:r>
        <w:rPr>
          <w:kern w:val="0"/>
          <w:szCs w:val="21"/>
        </w:rPr>
        <w:t>求和。例如，如果发现α-HBCDD高于检出限，但低于定量限，如果α-HBCDD的定量限是60 mg/kg，而样品中未发现高于检出限的其他HBCDD，则HBCDD总量应报告为60 mg/kg。</w:t>
      </w:r>
    </w:p>
    <w:p>
      <w:pPr>
        <w:pStyle w:val="47"/>
      </w:pPr>
      <w:bookmarkStart w:id="48" w:name="bookmark42"/>
      <w:r>
        <w:t>A.6.2 计算</w:t>
      </w:r>
      <w:bookmarkEnd w:id="48"/>
    </w:p>
    <w:p>
      <w:pPr>
        <w:ind w:firstLine="420" w:firstLineChars="200"/>
        <w:rPr>
          <w:kern w:val="0"/>
          <w:szCs w:val="21"/>
        </w:rPr>
      </w:pPr>
      <w:r>
        <w:rPr>
          <w:kern w:val="0"/>
          <w:szCs w:val="21"/>
        </w:rPr>
        <w:t>可以依据</w:t>
      </w:r>
      <w:r>
        <w:rPr>
          <w:rFonts w:hint="eastAsia"/>
          <w:kern w:val="0"/>
          <w:szCs w:val="21"/>
          <w:lang w:eastAsia="zh-CN"/>
        </w:rPr>
        <w:t>公式</w:t>
      </w:r>
      <w:r>
        <w:rPr>
          <w:kern w:val="0"/>
          <w:szCs w:val="21"/>
        </w:rPr>
        <w:t>（A.2）、（A.3）和（A.4）计算样品中每种HBCDD的最终浓度：</w:t>
      </w:r>
    </w:p>
    <w:p>
      <w:pPr>
        <w:ind w:firstLine="420" w:firstLineChars="200"/>
        <w:rPr>
          <w:kern w:val="0"/>
          <w:szCs w:val="21"/>
        </w:rPr>
      </w:pPr>
      <w:r>
        <w:rPr>
          <w:kern w:val="0"/>
          <w:szCs w:val="21"/>
        </w:rPr>
        <w:t>对于线性拟合，该</w:t>
      </w:r>
      <w:r>
        <w:rPr>
          <w:rFonts w:hint="eastAsia"/>
          <w:kern w:val="0"/>
          <w:szCs w:val="21"/>
          <w:lang w:eastAsia="zh-CN"/>
        </w:rPr>
        <w:t>公式</w:t>
      </w:r>
      <w:r>
        <w:rPr>
          <w:kern w:val="0"/>
          <w:szCs w:val="21"/>
        </w:rPr>
        <w:t>（A.2）形式如下：</w:t>
      </w:r>
    </w:p>
    <w:p>
      <w:pPr>
        <w:tabs>
          <w:tab w:val="left" w:pos="3969"/>
        </w:tabs>
        <w:adjustRightInd w:val="0"/>
        <w:snapToGrid w:val="0"/>
        <w:spacing w:before="156" w:beforeLines="50" w:after="156" w:afterLines="50"/>
        <w:jc w:val="right"/>
        <w:rPr>
          <w:iCs/>
          <w:color w:val="000000"/>
          <w:kern w:val="0"/>
          <w:szCs w:val="21"/>
          <w:lang w:bidi="en-US"/>
        </w:rPr>
      </w:pPr>
      <w:r>
        <w:rPr>
          <w:rFonts w:hint="eastAsia" w:ascii="Cambria Math" w:hAnsi="Cambria Math"/>
          <w:b w:val="0"/>
          <w:i w:val="0"/>
          <w:color w:val="000000"/>
          <w:kern w:val="0"/>
          <w:szCs w:val="21"/>
          <w:lang w:val="en-US" w:eastAsia="zh-CN" w:bidi="en-US"/>
        </w:rPr>
        <w:t xml:space="preserve">           </w:t>
      </w:r>
      <w:r>
        <w:rPr>
          <w:rFonts w:ascii="Cambria Math" w:hAnsi="Cambria Math"/>
          <w:b w:val="0"/>
          <w:i w:val="0"/>
          <w:color w:val="000000"/>
          <w:kern w:val="0"/>
          <w:position w:val="-10"/>
          <w:szCs w:val="21"/>
          <w:lang w:bidi="en-US"/>
        </w:rPr>
        <w:object>
          <v:shape id="_x0000_i1034" o:spt="75" type="#_x0000_t75" style="height:16pt;width:51pt;" o:ole="t" filled="f" o:preferrelative="t" stroked="f" coordsize="21600,21600">
            <v:path/>
            <v:fill on="f" focussize="0,0"/>
            <v:stroke on="f"/>
            <v:imagedata r:id="rId18" o:title=""/>
            <o:lock v:ext="edit" aspectratio="t"/>
            <w10:wrap type="none"/>
            <w10:anchorlock/>
          </v:shape>
          <o:OLEObject Type="Embed" ProgID="Equation.KSEE3" ShapeID="_x0000_i1034" DrawAspect="Content" ObjectID="_1468075734" r:id="rId32">
            <o:LockedField>false</o:LockedField>
          </o:OLEObject>
        </w:object>
      </w:r>
      <w:r>
        <w:rPr>
          <w:rFonts w:hint="eastAsia" w:ascii="Cambria Math" w:hAnsi="Cambria Math"/>
          <w:b w:val="0"/>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iCs/>
          <w:color w:val="000000"/>
          <w:kern w:val="0"/>
          <w:szCs w:val="21"/>
          <w:lang w:val="en-US" w:eastAsia="zh-CN" w:bidi="en-US"/>
        </w:rPr>
        <w:t>（</w:t>
      </w:r>
      <w:r>
        <w:rPr>
          <w:iCs/>
          <w:color w:val="000000"/>
          <w:kern w:val="0"/>
          <w:szCs w:val="21"/>
          <w:lang w:bidi="en-US"/>
        </w:rPr>
        <w:t>A.</w:t>
      </w:r>
      <w:r>
        <w:rPr>
          <w:rFonts w:hint="eastAsia"/>
          <w:iCs/>
          <w:color w:val="000000"/>
          <w:kern w:val="0"/>
          <w:szCs w:val="21"/>
          <w:lang w:val="en-US" w:eastAsia="zh-CN" w:bidi="en-US"/>
        </w:rPr>
        <w:t>2</w:t>
      </w:r>
      <w:r>
        <w:rPr>
          <w:rStyle w:val="178"/>
          <w:rFonts w:hint="eastAsia" w:ascii="Times New Roman" w:hAnsi="Times New Roman" w:eastAsia="宋体" w:cs="Times New Roman"/>
          <w:color w:val="000000"/>
          <w:sz w:val="21"/>
          <w:szCs w:val="21"/>
          <w:highlight w:val="none"/>
          <w:lang w:val="en-US" w:eastAsia="zh-CN"/>
        </w:rPr>
        <w:t>）</w:t>
      </w:r>
      <w:r>
        <w:rPr>
          <w:iCs/>
          <w:color w:val="000000"/>
          <w:kern w:val="0"/>
          <w:szCs w:val="21"/>
          <w:lang w:bidi="en-US"/>
        </w:rPr>
        <w:tab/>
      </w:r>
    </w:p>
    <w:p>
      <w:pPr>
        <w:ind w:firstLine="420" w:firstLineChars="200"/>
        <w:rPr>
          <w:kern w:val="0"/>
          <w:szCs w:val="21"/>
        </w:rPr>
      </w:pPr>
      <w:r>
        <w:rPr>
          <w:kern w:val="0"/>
          <w:szCs w:val="21"/>
        </w:rPr>
        <w:t>式中：</w:t>
      </w:r>
    </w:p>
    <w:p>
      <w:pPr>
        <w:ind w:firstLine="420" w:firstLineChars="200"/>
        <w:rPr>
          <w:iCs/>
          <w:kern w:val="0"/>
          <w:szCs w:val="21"/>
        </w:rPr>
      </w:pPr>
      <w:r>
        <w:rPr>
          <w:i/>
          <w:iCs/>
          <w:kern w:val="0"/>
          <w:szCs w:val="21"/>
        </w:rPr>
        <w:t>y</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样品</w:t>
      </w:r>
      <w:r>
        <w:rPr>
          <w:iCs/>
          <w:kern w:val="0"/>
          <w:szCs w:val="21"/>
        </w:rPr>
        <w:t xml:space="preserve">中每种HBCDD的峰面积； </w:t>
      </w:r>
    </w:p>
    <w:p>
      <w:pPr>
        <w:ind w:firstLine="420" w:firstLineChars="200"/>
        <w:rPr>
          <w:iCs/>
          <w:kern w:val="0"/>
          <w:szCs w:val="21"/>
        </w:rPr>
      </w:pPr>
      <w:r>
        <w:rPr>
          <w:i/>
          <w:iCs/>
          <w:kern w:val="0"/>
          <w:szCs w:val="21"/>
        </w:rPr>
        <w:t>a</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校准曲线斜率；</w:t>
      </w:r>
    </w:p>
    <w:p>
      <w:pPr>
        <w:ind w:firstLine="420" w:firstLineChars="200"/>
        <w:rPr>
          <w:kern w:val="0"/>
          <w:szCs w:val="21"/>
        </w:rPr>
      </w:pPr>
      <w:r>
        <w:rPr>
          <w:i/>
          <w:iCs/>
          <w:kern w:val="0"/>
          <w:szCs w:val="21"/>
        </w:rPr>
        <w:t>x</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HBCDD的仪器结果，</w:t>
      </w:r>
      <w:r>
        <w:rPr>
          <w:rFonts w:hint="eastAsia"/>
          <w:kern w:val="0"/>
          <w:szCs w:val="21"/>
          <w:lang w:eastAsia="zh-CN"/>
        </w:rPr>
        <w:t>单位为微克每毫升（</w:t>
      </w:r>
      <w:r>
        <w:rPr>
          <w:kern w:val="0"/>
          <w:szCs w:val="21"/>
        </w:rPr>
        <w:t>μg</w:t>
      </w:r>
      <w:r>
        <w:rPr>
          <w:rFonts w:hint="eastAsia"/>
          <w:kern w:val="0"/>
          <w:szCs w:val="21"/>
          <w:lang w:eastAsia="zh-CN"/>
        </w:rPr>
        <w:t>/mL）</w:t>
      </w:r>
      <w:r>
        <w:rPr>
          <w:kern w:val="0"/>
          <w:szCs w:val="21"/>
        </w:rPr>
        <w:t xml:space="preserve">； </w:t>
      </w:r>
    </w:p>
    <w:p>
      <w:pPr>
        <w:ind w:firstLine="420" w:firstLineChars="200"/>
        <w:rPr>
          <w:iCs/>
          <w:kern w:val="0"/>
          <w:szCs w:val="21"/>
        </w:rPr>
      </w:pPr>
      <w:r>
        <w:rPr>
          <w:i/>
          <w:iCs/>
          <w:kern w:val="0"/>
          <w:szCs w:val="21"/>
        </w:rPr>
        <w:t xml:space="preserve">b </w:t>
      </w:r>
      <w:r>
        <w:rPr>
          <w:rStyle w:val="207"/>
          <w:rFonts w:ascii="Times New Roman" w:hAnsi="Times New Roman" w:cs="Times New Roman" w:eastAsiaTheme="minorEastAsia"/>
          <w:color w:val="000000"/>
          <w:sz w:val="18"/>
          <w:szCs w:val="18"/>
        </w:rPr>
        <w:t>——</w:t>
      </w:r>
      <w:r>
        <w:rPr>
          <w:iCs/>
          <w:kern w:val="0"/>
          <w:szCs w:val="21"/>
        </w:rPr>
        <w:t>校准曲线y轴截距。</w:t>
      </w:r>
    </w:p>
    <w:p>
      <w:pPr>
        <w:ind w:firstLine="420" w:firstLineChars="200"/>
        <w:rPr>
          <w:kern w:val="0"/>
          <w:szCs w:val="21"/>
        </w:rPr>
      </w:pPr>
      <w:r>
        <w:rPr>
          <w:rFonts w:hint="eastAsia"/>
          <w:kern w:val="0"/>
          <w:szCs w:val="21"/>
          <w:lang w:val="en-US" w:eastAsia="zh-CN"/>
        </w:rPr>
        <w:t>对</w:t>
      </w:r>
      <w:r>
        <w:rPr>
          <w:kern w:val="0"/>
          <w:szCs w:val="21"/>
        </w:rPr>
        <w:t>方程</w:t>
      </w:r>
      <w:r>
        <w:rPr>
          <w:rFonts w:hint="eastAsia"/>
          <w:kern w:val="0"/>
          <w:szCs w:val="21"/>
          <w:lang w:val="en-US" w:eastAsia="zh-CN"/>
        </w:rPr>
        <w:t>进行</w:t>
      </w:r>
      <w:r>
        <w:rPr>
          <w:kern w:val="0"/>
          <w:szCs w:val="21"/>
        </w:rPr>
        <w:t>二次拟合</w:t>
      </w:r>
      <w:r>
        <w:rPr>
          <w:rFonts w:hint="eastAsia"/>
          <w:kern w:val="0"/>
          <w:szCs w:val="21"/>
          <w:lang w:val="en-US" w:eastAsia="zh-CN"/>
        </w:rPr>
        <w:t>,得到式</w:t>
      </w:r>
      <w:r>
        <w:rPr>
          <w:kern w:val="0"/>
          <w:szCs w:val="21"/>
        </w:rPr>
        <w:t>（A.3）：</w:t>
      </w:r>
    </w:p>
    <w:p>
      <w:pPr>
        <w:ind w:firstLine="420" w:firstLineChars="200"/>
        <w:rPr>
          <w:kern w:val="0"/>
          <w:szCs w:val="21"/>
        </w:rPr>
      </w:pPr>
      <w:r>
        <w:rPr>
          <w:kern w:val="0"/>
          <w:szCs w:val="21"/>
        </w:rPr>
        <w:t>表示</w:t>
      </w:r>
      <w:r>
        <w:rPr>
          <w:rFonts w:hint="eastAsia"/>
          <w:kern w:val="0"/>
          <w:szCs w:val="21"/>
          <w:lang w:eastAsia="zh-CN"/>
        </w:rPr>
        <w:t>公式</w:t>
      </w:r>
      <w:r>
        <w:rPr>
          <w:kern w:val="0"/>
          <w:szCs w:val="21"/>
        </w:rPr>
        <w:t>（A.3）形式的二次拟合：</w:t>
      </w:r>
    </w:p>
    <w:p>
      <w:pPr>
        <w:tabs>
          <w:tab w:val="left" w:pos="5245"/>
        </w:tabs>
        <w:wordWrap/>
        <w:adjustRightInd w:val="0"/>
        <w:snapToGrid w:val="0"/>
        <w:spacing w:before="156" w:beforeLines="50" w:after="156" w:afterLines="50"/>
        <w:jc w:val="right"/>
        <w:rPr>
          <w:rStyle w:val="178"/>
          <w:rFonts w:hint="eastAsia" w:ascii="Times New Roman" w:hAnsi="Times New Roman" w:eastAsia="宋体" w:cs="Times New Roman"/>
          <w:color w:val="000000"/>
          <w:sz w:val="21"/>
          <w:szCs w:val="21"/>
          <w:highlight w:val="none"/>
          <w:lang w:val="en-US" w:eastAsia="zh-CN"/>
        </w:rPr>
      </w:pPr>
      <w:r>
        <w:rPr>
          <w:rFonts w:hint="eastAsia" w:ascii="Cambria Math" w:hAnsi="Cambria Math"/>
          <w:i w:val="0"/>
          <w:color w:val="000000"/>
          <w:kern w:val="0"/>
          <w:position w:val="-10"/>
          <w:szCs w:val="21"/>
          <w:lang w:val="en-US" w:eastAsia="zh-CN" w:bidi="en-US"/>
        </w:rPr>
        <w:object>
          <v:shape id="_x0000_i1035" o:spt="75" type="#_x0000_t75" style="height:18pt;width:78pt;" o:ole="t" filled="f" o:preferrelative="t" stroked="f" coordsize="21600,21600">
            <v:path/>
            <v:fill on="f" focussize="0,0"/>
            <v:stroke on="f"/>
            <v:imagedata r:id="rId20" o:title=""/>
            <o:lock v:ext="edit" aspectratio="t"/>
            <w10:wrap type="none"/>
            <w10:anchorlock/>
          </v:shape>
          <o:OLEObject Type="Embed" ProgID="Equation.KSEE3" ShapeID="_x0000_i1035" DrawAspect="Content" ObjectID="_1468075735" r:id="rId33">
            <o:LockedField>false</o:LockedField>
          </o:OLEObject>
        </w:object>
      </w:r>
      <w:r>
        <w:rPr>
          <w:rFonts w:hint="eastAsia" w:ascii="Cambria Math" w:hAnsi="Cambria Math"/>
          <w:b w:val="0"/>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iCs/>
          <w:color w:val="000000"/>
          <w:kern w:val="0"/>
          <w:szCs w:val="21"/>
          <w:lang w:val="en-US" w:eastAsia="zh-CN" w:bidi="en-US"/>
        </w:rPr>
        <w:t>（</w:t>
      </w:r>
      <w:r>
        <w:rPr>
          <w:iCs/>
          <w:color w:val="000000"/>
          <w:kern w:val="0"/>
          <w:szCs w:val="21"/>
          <w:lang w:bidi="en-US"/>
        </w:rPr>
        <w:t>A.</w:t>
      </w:r>
      <w:r>
        <w:rPr>
          <w:rFonts w:hint="eastAsia"/>
          <w:iCs/>
          <w:color w:val="000000"/>
          <w:kern w:val="0"/>
          <w:szCs w:val="21"/>
          <w:lang w:val="en-US" w:eastAsia="zh-CN" w:bidi="en-US"/>
        </w:rPr>
        <w:t>3</w:t>
      </w:r>
      <w:r>
        <w:rPr>
          <w:rStyle w:val="178"/>
          <w:rFonts w:hint="eastAsia" w:ascii="Times New Roman" w:hAnsi="Times New Roman" w:eastAsia="宋体" w:cs="Times New Roman"/>
          <w:color w:val="000000"/>
          <w:sz w:val="21"/>
          <w:szCs w:val="21"/>
          <w:highlight w:val="none"/>
          <w:lang w:val="en-US" w:eastAsia="zh-CN"/>
        </w:rPr>
        <w:t>）</w:t>
      </w:r>
    </w:p>
    <w:p>
      <w:pPr>
        <w:tabs>
          <w:tab w:val="left" w:pos="5245"/>
        </w:tabs>
        <w:wordWrap/>
        <w:adjustRightInd w:val="0"/>
        <w:snapToGrid w:val="0"/>
        <w:spacing w:before="156" w:beforeLines="50" w:after="156" w:afterLines="50"/>
        <w:ind w:firstLine="420" w:firstLineChars="200"/>
        <w:jc w:val="left"/>
        <w:rPr>
          <w:kern w:val="0"/>
          <w:szCs w:val="21"/>
        </w:rPr>
      </w:pPr>
      <w:r>
        <w:rPr>
          <w:kern w:val="0"/>
          <w:szCs w:val="21"/>
        </w:rPr>
        <w:t>式中：</w:t>
      </w:r>
    </w:p>
    <w:p>
      <w:pPr>
        <w:ind w:firstLine="420" w:firstLineChars="200"/>
        <w:rPr>
          <w:iCs/>
          <w:kern w:val="0"/>
          <w:szCs w:val="21"/>
        </w:rPr>
      </w:pPr>
      <w:r>
        <w:rPr>
          <w:i/>
          <w:iCs/>
          <w:kern w:val="0"/>
          <w:szCs w:val="21"/>
        </w:rPr>
        <w:t>y</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iCs/>
          <w:kern w:val="0"/>
          <w:szCs w:val="21"/>
        </w:rPr>
        <w:t>样品中每种HBCDD的峰面积；</w:t>
      </w:r>
    </w:p>
    <w:p>
      <w:pPr>
        <w:ind w:firstLine="420" w:firstLineChars="200"/>
        <w:rPr>
          <w:kern w:val="0"/>
          <w:szCs w:val="21"/>
        </w:rPr>
      </w:pPr>
      <w:r>
        <w:rPr>
          <w:i/>
          <w:iCs/>
          <w:kern w:val="0"/>
          <w:szCs w:val="21"/>
        </w:rPr>
        <w:t>a</w:t>
      </w:r>
      <w:r>
        <w:rPr>
          <w:kern w:val="0"/>
          <w:szCs w:val="21"/>
        </w:rPr>
        <w:t>和</w:t>
      </w:r>
      <w:r>
        <w:rPr>
          <w:i/>
          <w:iCs w:val="0"/>
          <w:kern w:val="0"/>
          <w:szCs w:val="21"/>
        </w:rPr>
        <w:t>b</w:t>
      </w:r>
      <w:r>
        <w:rPr>
          <w:rStyle w:val="207"/>
          <w:rFonts w:ascii="Times New Roman" w:hAnsi="Times New Roman" w:cs="Times New Roman" w:eastAsiaTheme="minorEastAsia"/>
          <w:color w:val="000000"/>
          <w:sz w:val="18"/>
          <w:szCs w:val="18"/>
        </w:rPr>
        <w:t>——</w:t>
      </w:r>
      <w:r>
        <w:rPr>
          <w:kern w:val="0"/>
          <w:szCs w:val="21"/>
        </w:rPr>
        <w:t>校准最佳拟合曲线的对应常数；</w:t>
      </w:r>
    </w:p>
    <w:p>
      <w:pPr>
        <w:ind w:firstLine="420" w:firstLineChars="200"/>
        <w:rPr>
          <w:kern w:val="0"/>
          <w:szCs w:val="21"/>
        </w:rPr>
      </w:pPr>
      <w:r>
        <w:rPr>
          <w:i/>
          <w:iCs/>
          <w:kern w:val="0"/>
          <w:szCs w:val="21"/>
        </w:rPr>
        <w:t>x</w:t>
      </w:r>
      <w:r>
        <w:rPr>
          <w:rFonts w:hint="eastAsia"/>
          <w:i/>
          <w:iCs/>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HBCDD的仪器结果，</w:t>
      </w:r>
      <w:r>
        <w:rPr>
          <w:rFonts w:hint="eastAsia"/>
          <w:kern w:val="0"/>
          <w:szCs w:val="21"/>
          <w:lang w:eastAsia="zh-CN"/>
        </w:rPr>
        <w:t>单位为微克每毫升（</w:t>
      </w:r>
      <w:r>
        <w:rPr>
          <w:kern w:val="0"/>
          <w:szCs w:val="21"/>
        </w:rPr>
        <w:t>μg</w:t>
      </w:r>
      <w:r>
        <w:rPr>
          <w:rFonts w:hint="eastAsia"/>
          <w:kern w:val="0"/>
          <w:szCs w:val="21"/>
          <w:lang w:eastAsia="zh-CN"/>
        </w:rPr>
        <w:t>/mL）</w:t>
      </w:r>
      <w:r>
        <w:rPr>
          <w:kern w:val="0"/>
          <w:szCs w:val="21"/>
        </w:rPr>
        <w:t>；</w:t>
      </w:r>
    </w:p>
    <w:p>
      <w:pPr>
        <w:ind w:firstLine="420" w:firstLineChars="200"/>
        <w:rPr>
          <w:iCs/>
          <w:kern w:val="0"/>
          <w:szCs w:val="21"/>
        </w:rPr>
      </w:pPr>
      <w:r>
        <w:rPr>
          <w:i/>
          <w:iCs w:val="0"/>
          <w:kern w:val="0"/>
          <w:szCs w:val="21"/>
        </w:rPr>
        <w:t>c</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响应</w:t>
      </w:r>
      <w:r>
        <w:rPr>
          <w:iCs/>
          <w:kern w:val="0"/>
          <w:szCs w:val="21"/>
        </w:rPr>
        <w:t>因子等于0时的y截距或浓度。</w:t>
      </w:r>
    </w:p>
    <w:p>
      <w:pPr>
        <w:ind w:firstLine="420" w:firstLineChars="200"/>
        <w:rPr>
          <w:kern w:val="0"/>
          <w:szCs w:val="21"/>
        </w:rPr>
      </w:pPr>
      <w:r>
        <w:rPr>
          <w:kern w:val="0"/>
          <w:szCs w:val="21"/>
        </w:rPr>
        <w:t>稀释度的计算方法与HPLC-MS完全相同。</w:t>
      </w:r>
    </w:p>
    <w:p>
      <w:pPr>
        <w:ind w:firstLine="420" w:firstLineChars="200"/>
        <w:rPr>
          <w:kern w:val="0"/>
          <w:szCs w:val="21"/>
        </w:rPr>
      </w:pPr>
      <w:r>
        <w:rPr>
          <w:kern w:val="0"/>
          <w:szCs w:val="21"/>
        </w:rPr>
        <w:t>根据</w:t>
      </w:r>
      <w:r>
        <w:rPr>
          <w:rFonts w:hint="eastAsia"/>
          <w:kern w:val="0"/>
          <w:szCs w:val="21"/>
          <w:lang w:eastAsia="zh-CN"/>
        </w:rPr>
        <w:t>公式</w:t>
      </w:r>
      <w:r>
        <w:rPr>
          <w:kern w:val="0"/>
          <w:szCs w:val="21"/>
        </w:rPr>
        <w:t>（A.4）计算样品中六溴环十二烷（HBCDD）的含量：</w:t>
      </w:r>
    </w:p>
    <w:p>
      <w:pPr>
        <w:tabs>
          <w:tab w:val="left" w:pos="4678"/>
        </w:tabs>
        <w:adjustRightInd w:val="0"/>
        <w:snapToGrid w:val="0"/>
        <w:spacing w:before="156" w:beforeLines="50" w:after="156" w:afterLines="50"/>
        <w:jc w:val="right"/>
        <w:rPr>
          <w:color w:val="000000"/>
          <w:kern w:val="0"/>
          <w:szCs w:val="21"/>
          <w:lang w:bidi="en-US"/>
        </w:rPr>
      </w:pPr>
      <w:r>
        <w:rPr>
          <w:rFonts w:hint="eastAsia" w:ascii="Cambria Math" w:hAnsi="Cambria Math"/>
          <w:i/>
          <w:color w:val="000000"/>
          <w:kern w:val="0"/>
          <w:szCs w:val="21"/>
          <w:lang w:val="en-US" w:eastAsia="zh-CN" w:bidi="en-US"/>
        </w:rPr>
        <w:t xml:space="preserve">               </w:t>
      </w:r>
      <w:r>
        <w:rPr>
          <w:rFonts w:ascii="Cambria Math" w:hAnsi="Cambria Math"/>
          <w:i/>
          <w:color w:val="000000"/>
          <w:kern w:val="0"/>
          <w:position w:val="-24"/>
          <w:szCs w:val="21"/>
          <w:lang w:bidi="en-US"/>
        </w:rPr>
        <w:object>
          <v:shape id="_x0000_i1036" o:spt="75" type="#_x0000_t75" style="height:31pt;width:88pt;" o:ole="t" filled="f" o:preferrelative="t" stroked="f" coordsize="21600,21600">
            <v:path/>
            <v:fill on="f" focussize="0,0"/>
            <v:stroke on="f"/>
            <v:imagedata r:id="rId35" o:title=""/>
            <o:lock v:ext="edit" aspectratio="t"/>
            <w10:wrap type="none"/>
            <w10:anchorlock/>
          </v:shape>
          <o:OLEObject Type="Embed" ProgID="Equation.KSEE3" ShapeID="_x0000_i1036" DrawAspect="Content" ObjectID="_1468075736" r:id="rId34">
            <o:LockedField>false</o:LockedField>
          </o:OLEObject>
        </w:object>
      </w:r>
      <w:r>
        <w:rPr>
          <w:color w:val="000000"/>
          <w:kern w:val="0"/>
          <w:szCs w:val="21"/>
          <w:lang w:bidi="en-US"/>
        </w:rPr>
        <w:tab/>
      </w:r>
      <w:r>
        <w:rPr>
          <w:rFonts w:hint="eastAsia" w:ascii="Cambria Math" w:hAnsi="Cambria Math"/>
          <w:b w:val="0"/>
          <w:i w:val="0"/>
          <w:color w:val="000000"/>
          <w:kern w:val="0"/>
          <w:szCs w:val="21"/>
          <w:lang w:val="en-US" w:eastAsia="zh-CN" w:bidi="en-US"/>
        </w:rPr>
        <w:t xml:space="preserve">  </w:t>
      </w:r>
      <w:r>
        <w:rPr>
          <w:rStyle w:val="178"/>
          <w:rFonts w:hint="eastAsia" w:ascii="Times New Roman" w:hAnsi="Times New Roman" w:eastAsia="宋体" w:cs="Times New Roman"/>
          <w:color w:val="000000"/>
          <w:sz w:val="21"/>
          <w:szCs w:val="21"/>
          <w:highlight w:val="none"/>
          <w:lang w:val="en-US" w:eastAsia="zh-CN"/>
        </w:rPr>
        <w:t>...............................</w:t>
      </w:r>
      <w:r>
        <w:rPr>
          <w:rFonts w:hint="eastAsia"/>
          <w:iCs/>
          <w:color w:val="000000"/>
          <w:kern w:val="0"/>
          <w:szCs w:val="21"/>
          <w:lang w:val="en-US" w:eastAsia="zh-CN" w:bidi="en-US"/>
        </w:rPr>
        <w:t>（</w:t>
      </w:r>
      <w:r>
        <w:rPr>
          <w:iCs/>
          <w:color w:val="000000"/>
          <w:kern w:val="0"/>
          <w:szCs w:val="21"/>
          <w:lang w:bidi="en-US"/>
        </w:rPr>
        <w:t>A.</w:t>
      </w:r>
      <w:r>
        <w:rPr>
          <w:rFonts w:hint="eastAsia"/>
          <w:iCs/>
          <w:color w:val="000000"/>
          <w:kern w:val="0"/>
          <w:szCs w:val="21"/>
          <w:lang w:val="en-US" w:eastAsia="zh-CN" w:bidi="en-US"/>
        </w:rPr>
        <w:t>4</w:t>
      </w:r>
      <w:r>
        <w:rPr>
          <w:rStyle w:val="178"/>
          <w:rFonts w:hint="eastAsia" w:ascii="Times New Roman" w:hAnsi="Times New Roman" w:eastAsia="宋体" w:cs="Times New Roman"/>
          <w:color w:val="000000"/>
          <w:sz w:val="21"/>
          <w:szCs w:val="21"/>
          <w:highlight w:val="none"/>
          <w:lang w:val="en-US" w:eastAsia="zh-CN"/>
        </w:rPr>
        <w:t>）</w:t>
      </w:r>
    </w:p>
    <w:p>
      <w:pPr>
        <w:ind w:firstLine="420" w:firstLineChars="200"/>
        <w:rPr>
          <w:kern w:val="0"/>
          <w:szCs w:val="21"/>
        </w:rPr>
      </w:pPr>
      <w:r>
        <w:rPr>
          <w:kern w:val="0"/>
          <w:szCs w:val="21"/>
        </w:rPr>
        <w:t>式中：</w:t>
      </w:r>
    </w:p>
    <w:p>
      <w:pPr>
        <w:ind w:firstLine="420" w:firstLineChars="200"/>
        <w:rPr>
          <w:kern w:val="0"/>
          <w:szCs w:val="21"/>
        </w:rPr>
      </w:pPr>
      <w:r>
        <w:rPr>
          <w:i/>
          <w:iCs/>
          <w:kern w:val="0"/>
          <w:szCs w:val="21"/>
        </w:rPr>
        <w:t>C</w:t>
      </w:r>
      <w:r>
        <w:rPr>
          <w:i/>
          <w:iCs/>
          <w:kern w:val="0"/>
          <w:szCs w:val="21"/>
          <w:vertAlign w:val="subscript"/>
        </w:rPr>
        <w:t>final</w:t>
      </w:r>
      <w:r>
        <w:rPr>
          <w:rFonts w:hint="eastAsia"/>
          <w:i/>
          <w:iCs/>
          <w:kern w:val="0"/>
          <w:szCs w:val="21"/>
        </w:rPr>
        <w:tab/>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样品中每种HBCDD的浓度，</w:t>
      </w:r>
      <w:r>
        <w:rPr>
          <w:rFonts w:hint="eastAsia"/>
          <w:kern w:val="0"/>
          <w:szCs w:val="21"/>
          <w:lang w:eastAsia="zh-CN"/>
        </w:rPr>
        <w:t>单位为微克每</w:t>
      </w:r>
      <w:r>
        <w:rPr>
          <w:rFonts w:hint="eastAsia"/>
          <w:kern w:val="0"/>
          <w:szCs w:val="21"/>
          <w:lang w:val="en-US" w:eastAsia="zh-CN"/>
        </w:rPr>
        <w:t>克</w:t>
      </w:r>
      <w:r>
        <w:rPr>
          <w:rFonts w:hint="eastAsia"/>
          <w:kern w:val="0"/>
          <w:szCs w:val="21"/>
          <w:lang w:eastAsia="zh-CN"/>
        </w:rPr>
        <w:t>（</w:t>
      </w:r>
      <w:r>
        <w:rPr>
          <w:kern w:val="0"/>
          <w:szCs w:val="21"/>
        </w:rPr>
        <w:t>μg/g</w:t>
      </w:r>
      <w:r>
        <w:rPr>
          <w:rFonts w:hint="eastAsia"/>
          <w:kern w:val="0"/>
          <w:szCs w:val="21"/>
          <w:lang w:eastAsia="zh-CN"/>
        </w:rPr>
        <w:t>）</w:t>
      </w:r>
      <w:r>
        <w:rPr>
          <w:kern w:val="0"/>
          <w:szCs w:val="21"/>
        </w:rPr>
        <w:t xml:space="preserve">； </w:t>
      </w:r>
    </w:p>
    <w:p>
      <w:pPr>
        <w:ind w:firstLine="420" w:firstLineChars="200"/>
        <w:rPr>
          <w:iCs/>
          <w:kern w:val="0"/>
          <w:szCs w:val="21"/>
        </w:rPr>
      </w:pPr>
      <w:r>
        <w:rPr>
          <w:i/>
          <w:iCs w:val="0"/>
          <w:kern w:val="0"/>
          <w:szCs w:val="21"/>
        </w:rPr>
        <w:t>V</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最终</w:t>
      </w:r>
      <w:r>
        <w:rPr>
          <w:iCs/>
          <w:kern w:val="0"/>
          <w:szCs w:val="21"/>
        </w:rPr>
        <w:t>提取体积（100</w:t>
      </w:r>
      <w:r>
        <w:rPr>
          <w:rFonts w:hint="eastAsia"/>
          <w:iCs/>
          <w:kern w:val="0"/>
          <w:szCs w:val="21"/>
          <w:lang w:eastAsia="zh-CN"/>
        </w:rPr>
        <w:t xml:space="preserve"> mL</w:t>
      </w:r>
      <w:r>
        <w:rPr>
          <w:iCs/>
          <w:kern w:val="0"/>
          <w:szCs w:val="21"/>
        </w:rPr>
        <w:t>）；</w:t>
      </w:r>
    </w:p>
    <w:p>
      <w:pPr>
        <w:ind w:firstLine="420" w:firstLineChars="200"/>
        <w:rPr>
          <w:iCs/>
          <w:kern w:val="0"/>
          <w:szCs w:val="21"/>
        </w:rPr>
      </w:pPr>
      <w:r>
        <w:rPr>
          <w:i/>
          <w:iCs/>
          <w:kern w:val="0"/>
          <w:szCs w:val="21"/>
        </w:rPr>
        <w:t>M</w:t>
      </w:r>
      <w:r>
        <w:rPr>
          <w:rFonts w:hint="eastAsia"/>
          <w:kern w:val="0"/>
          <w:szCs w:val="21"/>
          <w:lang w:val="en-US" w:eastAsia="zh-CN"/>
        </w:rPr>
        <w:t xml:space="preserve"> </w:t>
      </w:r>
      <w:r>
        <w:rPr>
          <w:rStyle w:val="207"/>
          <w:rFonts w:ascii="Times New Roman" w:hAnsi="Times New Roman" w:cs="Times New Roman" w:eastAsiaTheme="minorEastAsia"/>
          <w:color w:val="000000"/>
          <w:sz w:val="18"/>
          <w:szCs w:val="18"/>
        </w:rPr>
        <w:t>——</w:t>
      </w:r>
      <w:r>
        <w:rPr>
          <w:kern w:val="0"/>
          <w:szCs w:val="21"/>
        </w:rPr>
        <w:t>样品</w:t>
      </w:r>
      <w:r>
        <w:rPr>
          <w:iCs/>
          <w:kern w:val="0"/>
          <w:szCs w:val="21"/>
        </w:rPr>
        <w:t>质量，单位是克</w:t>
      </w:r>
      <w:r>
        <w:rPr>
          <w:rFonts w:hint="eastAsia"/>
          <w:kern w:val="0"/>
          <w:szCs w:val="21"/>
          <w:lang w:eastAsia="zh-CN"/>
        </w:rPr>
        <w:t>（</w:t>
      </w:r>
      <w:r>
        <w:rPr>
          <w:kern w:val="0"/>
          <w:szCs w:val="21"/>
        </w:rPr>
        <w:t>g</w:t>
      </w:r>
      <w:r>
        <w:rPr>
          <w:rFonts w:hint="eastAsia"/>
          <w:kern w:val="0"/>
          <w:szCs w:val="21"/>
          <w:lang w:eastAsia="zh-CN"/>
        </w:rPr>
        <w:t>）</w:t>
      </w:r>
      <w:r>
        <w:rPr>
          <w:iCs/>
          <w:kern w:val="0"/>
          <w:szCs w:val="21"/>
        </w:rPr>
        <w:t>。</w:t>
      </w:r>
    </w:p>
    <w:p>
      <w:pPr>
        <w:ind w:firstLine="420" w:firstLineChars="200"/>
        <w:rPr>
          <w:kern w:val="0"/>
          <w:szCs w:val="21"/>
        </w:rPr>
      </w:pPr>
      <w:r>
        <w:rPr>
          <w:kern w:val="0"/>
          <w:szCs w:val="21"/>
        </w:rPr>
        <w:t>对三种异构体求和，得出HBCDD总量。</w:t>
      </w:r>
    </w:p>
    <w:p>
      <w:pPr>
        <w:pStyle w:val="47"/>
      </w:pPr>
      <w:r>
        <w:t>A.7 精度</w:t>
      </w:r>
    </w:p>
    <w:p>
      <w:pPr>
        <w:ind w:firstLine="420" w:firstLineChars="200"/>
        <w:rPr>
          <w:kern w:val="0"/>
          <w:szCs w:val="21"/>
        </w:rPr>
      </w:pPr>
      <w:r>
        <w:rPr>
          <w:rFonts w:hint="eastAsia"/>
          <w:kern w:val="0"/>
          <w:szCs w:val="21"/>
          <w:lang w:val="en-US" w:eastAsia="zh-CN"/>
        </w:rPr>
        <w:t>根据</w:t>
      </w:r>
      <w:r>
        <w:rPr>
          <w:kern w:val="0"/>
          <w:szCs w:val="21"/>
        </w:rPr>
        <w:t>国际实验室间研究（IIS 9）</w:t>
      </w:r>
      <w:r>
        <w:rPr>
          <w:rFonts w:hint="eastAsia"/>
          <w:kern w:val="0"/>
          <w:szCs w:val="21"/>
          <w:lang w:val="en-US" w:eastAsia="zh-CN"/>
        </w:rPr>
        <w:t>中</w:t>
      </w:r>
      <w:r>
        <w:rPr>
          <w:kern w:val="0"/>
          <w:szCs w:val="21"/>
        </w:rPr>
        <w:t>，</w:t>
      </w:r>
      <w:r>
        <w:rPr>
          <w:rFonts w:hint="eastAsia"/>
          <w:szCs w:val="21"/>
          <w:highlight w:val="none"/>
          <w:lang w:val="en-US" w:eastAsia="zh-CN"/>
        </w:rPr>
        <w:t>对于大于</w:t>
      </w:r>
      <w:r>
        <w:rPr>
          <w:szCs w:val="21"/>
          <w:highlight w:val="none"/>
        </w:rPr>
        <w:t>5％</w:t>
      </w:r>
      <w:r>
        <w:rPr>
          <w:rFonts w:hint="eastAsia"/>
          <w:szCs w:val="21"/>
          <w:highlight w:val="none"/>
          <w:lang w:val="en-US" w:eastAsia="zh-CN"/>
        </w:rPr>
        <w:t>情况的统计分析</w:t>
      </w:r>
      <w:r>
        <w:rPr>
          <w:kern w:val="0"/>
          <w:szCs w:val="21"/>
        </w:rPr>
        <w:t>，在较短时间间隔内，在同一实验室由同一操作员使用同一设备，在完全相同的检测物质上使用同一方法时，如果两项独立单一检测结果的数值位于下表A.4的平均值范围内，两种检测结果之间的绝对差不应超过重复性限</w:t>
      </w:r>
      <w:r>
        <w:rPr>
          <w:i/>
          <w:kern w:val="0"/>
          <w:szCs w:val="21"/>
        </w:rPr>
        <w:t>r</w:t>
      </w:r>
      <w:r>
        <w:rPr>
          <w:kern w:val="0"/>
          <w:szCs w:val="21"/>
        </w:rPr>
        <w:t>。</w:t>
      </w:r>
    </w:p>
    <w:p>
      <w:pPr>
        <w:rPr>
          <w:color w:val="000000"/>
          <w:kern w:val="0"/>
          <w:szCs w:val="21"/>
          <w:lang w:bidi="en-US"/>
        </w:rPr>
      </w:pPr>
      <w:r>
        <w:rPr>
          <w:rFonts w:hint="eastAsia"/>
          <w:kern w:val="0"/>
          <w:szCs w:val="21"/>
          <w:lang w:val="en-US" w:eastAsia="zh-CN"/>
        </w:rPr>
        <w:t xml:space="preserve">    根据</w:t>
      </w:r>
      <w:r>
        <w:rPr>
          <w:kern w:val="0"/>
          <w:szCs w:val="21"/>
        </w:rPr>
        <w:t>国际实验室间研究（IIS 9）</w:t>
      </w:r>
      <w:r>
        <w:rPr>
          <w:rFonts w:hint="eastAsia"/>
          <w:kern w:val="0"/>
          <w:szCs w:val="21"/>
          <w:lang w:val="en-US" w:eastAsia="zh-CN"/>
        </w:rPr>
        <w:t>中</w:t>
      </w:r>
      <w:r>
        <w:rPr>
          <w:kern w:val="0"/>
          <w:szCs w:val="21"/>
        </w:rPr>
        <w:t>，</w:t>
      </w:r>
      <w:r>
        <w:rPr>
          <w:rFonts w:hint="eastAsia"/>
          <w:szCs w:val="21"/>
          <w:highlight w:val="none"/>
          <w:lang w:val="en-US" w:eastAsia="zh-CN"/>
        </w:rPr>
        <w:t>对于大于</w:t>
      </w:r>
      <w:r>
        <w:rPr>
          <w:szCs w:val="21"/>
          <w:highlight w:val="none"/>
        </w:rPr>
        <w:t>5％</w:t>
      </w:r>
      <w:r>
        <w:rPr>
          <w:rFonts w:hint="eastAsia"/>
          <w:szCs w:val="21"/>
          <w:highlight w:val="none"/>
          <w:lang w:val="en-US" w:eastAsia="zh-CN"/>
        </w:rPr>
        <w:t>情况的统计分析</w:t>
      </w:r>
      <w:r>
        <w:rPr>
          <w:kern w:val="0"/>
          <w:szCs w:val="21"/>
        </w:rPr>
        <w:t>，</w:t>
      </w:r>
      <w:r>
        <w:rPr>
          <w:color w:val="000000"/>
          <w:kern w:val="0"/>
          <w:szCs w:val="21"/>
          <w:lang w:bidi="en-US"/>
        </w:rPr>
        <w:t>在不同实验室由不同操作员使用不同设备，在完全相同的检测物质上使用同一方法时，如果两项单一检测结果的数值位于下表</w:t>
      </w:r>
      <w:r>
        <w:rPr>
          <w:kern w:val="0"/>
          <w:szCs w:val="21"/>
        </w:rPr>
        <w:t>A.4</w:t>
      </w:r>
      <w:r>
        <w:rPr>
          <w:color w:val="000000"/>
          <w:kern w:val="0"/>
          <w:szCs w:val="21"/>
          <w:lang w:bidi="en-US"/>
        </w:rPr>
        <w:t>的数值范围内，两种检测结果之间的绝对差不应超过再现性限</w:t>
      </w:r>
      <w:r>
        <w:rPr>
          <w:i/>
          <w:color w:val="000000"/>
          <w:kern w:val="0"/>
          <w:szCs w:val="21"/>
          <w:lang w:bidi="en-US"/>
        </w:rPr>
        <w:t>R</w:t>
      </w:r>
      <w:r>
        <w:rPr>
          <w:color w:val="000000"/>
          <w:kern w:val="0"/>
          <w:szCs w:val="21"/>
          <w:lang w:bidi="en-US"/>
        </w:rPr>
        <w:t>。</w:t>
      </w:r>
    </w:p>
    <w:p>
      <w:pPr>
        <w:spacing w:before="156" w:beforeLines="50" w:after="156" w:afterLines="50"/>
        <w:jc w:val="center"/>
        <w:rPr>
          <w:b/>
          <w:bCs/>
          <w:szCs w:val="21"/>
        </w:rPr>
      </w:pPr>
      <w:r>
        <w:rPr>
          <w:b/>
          <w:bCs/>
          <w:szCs w:val="21"/>
        </w:rPr>
        <w:t>表A.4</w:t>
      </w:r>
      <w:r>
        <w:rPr>
          <w:rFonts w:hint="eastAsia"/>
          <w:b/>
          <w:bCs/>
          <w:szCs w:val="21"/>
          <w:lang w:val="en-US" w:eastAsia="zh-CN"/>
        </w:rPr>
        <w:t xml:space="preserve"> </w:t>
      </w:r>
      <w:r>
        <w:rPr>
          <w:b/>
          <w:bCs/>
          <w:szCs w:val="21"/>
        </w:rPr>
        <w:t>IIS 9的重复性与再现性</w:t>
      </w:r>
    </w:p>
    <w:tbl>
      <w:tblPr>
        <w:tblStyle w:val="37"/>
        <w:tblW w:w="9468" w:type="dxa"/>
        <w:tblInd w:w="0" w:type="dxa"/>
        <w:tblLayout w:type="fixed"/>
        <w:tblCellMar>
          <w:top w:w="0" w:type="dxa"/>
          <w:left w:w="57" w:type="dxa"/>
          <w:bottom w:w="0" w:type="dxa"/>
          <w:right w:w="57" w:type="dxa"/>
        </w:tblCellMar>
      </w:tblPr>
      <w:tblGrid>
        <w:gridCol w:w="1900"/>
        <w:gridCol w:w="1889"/>
        <w:gridCol w:w="1894"/>
        <w:gridCol w:w="1885"/>
        <w:gridCol w:w="1900"/>
      </w:tblGrid>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参数</w:t>
            </w:r>
          </w:p>
        </w:tc>
        <w:tc>
          <w:tcPr>
            <w:tcW w:w="1889" w:type="dxa"/>
            <w:tcBorders>
              <w:top w:val="single" w:color="auto" w:sz="4" w:space="0"/>
              <w:lef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N</w:t>
            </w:r>
          </w:p>
        </w:tc>
        <w:tc>
          <w:tcPr>
            <w:tcW w:w="1894" w:type="dxa"/>
            <w:tcBorders>
              <w:top w:val="single" w:color="auto" w:sz="4" w:space="0"/>
              <w:left w:val="single" w:color="auto" w:sz="4" w:space="0"/>
            </w:tcBorders>
            <w:shd w:val="clear" w:color="auto" w:fill="FFFFFF"/>
            <w:vAlign w:val="bottom"/>
          </w:tcPr>
          <w:p>
            <w:pPr>
              <w:jc w:val="center"/>
              <w:rPr>
                <w:i/>
                <w:iCs/>
                <w:color w:val="000000"/>
                <w:kern w:val="0"/>
                <w:szCs w:val="21"/>
                <w:lang w:bidi="en-US"/>
              </w:rPr>
            </w:pPr>
            <w:r>
              <w:rPr>
                <w:i/>
                <w:iCs/>
                <w:color w:val="000000"/>
                <w:kern w:val="0"/>
                <w:szCs w:val="21"/>
                <w:lang w:bidi="en-US"/>
              </w:rPr>
              <w:t>m</w:t>
            </w:r>
          </w:p>
          <w:p>
            <w:pPr>
              <w:jc w:val="center"/>
              <w:rPr>
                <w:color w:val="000000"/>
                <w:kern w:val="0"/>
                <w:szCs w:val="21"/>
                <w:lang w:bidi="en-US"/>
              </w:rPr>
            </w:pPr>
            <w:r>
              <w:rPr>
                <w:color w:val="000000"/>
                <w:kern w:val="0"/>
                <w:szCs w:val="21"/>
                <w:lang w:bidi="en-US"/>
              </w:rPr>
              <w:t>mg/kg</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r</w:t>
            </w:r>
          </w:p>
          <w:p>
            <w:pPr>
              <w:jc w:val="center"/>
              <w:rPr>
                <w:color w:val="000000"/>
                <w:kern w:val="0"/>
                <w:szCs w:val="21"/>
                <w:lang w:bidi="en-US"/>
              </w:rPr>
            </w:pPr>
            <w:r>
              <w:rPr>
                <w:color w:val="000000"/>
                <w:kern w:val="0"/>
                <w:szCs w:val="21"/>
                <w:lang w:bidi="en-US"/>
              </w:rPr>
              <w:t>mg/kg</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i/>
                <w:iCs/>
                <w:color w:val="000000"/>
                <w:kern w:val="0"/>
                <w:szCs w:val="21"/>
                <w:lang w:bidi="en-US"/>
              </w:rPr>
            </w:pPr>
            <w:r>
              <w:rPr>
                <w:i/>
                <w:iCs/>
                <w:color w:val="000000"/>
                <w:kern w:val="0"/>
                <w:szCs w:val="21"/>
                <w:lang w:bidi="en-US"/>
              </w:rPr>
              <w:t>R</w:t>
            </w:r>
          </w:p>
          <w:p>
            <w:pPr>
              <w:jc w:val="center"/>
              <w:rPr>
                <w:color w:val="000000"/>
                <w:kern w:val="0"/>
                <w:szCs w:val="21"/>
                <w:lang w:bidi="en-US"/>
              </w:rPr>
            </w:pPr>
            <w:r>
              <w:rPr>
                <w:color w:val="000000"/>
                <w:kern w:val="0"/>
                <w:szCs w:val="21"/>
                <w:lang w:bidi="en-US"/>
              </w:rPr>
              <w:t>mg/kg</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9</w:t>
            </w:r>
          </w:p>
        </w:tc>
        <w:tc>
          <w:tcPr>
            <w:tcW w:w="1894"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5 435</w:t>
            </w:r>
            <w:r>
              <w:rPr>
                <w:rFonts w:hint="eastAsia"/>
                <w:color w:val="000000"/>
                <w:kern w:val="0"/>
                <w:szCs w:val="21"/>
                <w:lang w:eastAsia="zh-CN" w:bidi="en-US"/>
              </w:rPr>
              <w:t>.</w:t>
            </w:r>
            <w:r>
              <w:rPr>
                <w:color w:val="000000"/>
                <w:kern w:val="0"/>
                <w:szCs w:val="21"/>
                <w:lang w:bidi="en-US"/>
              </w:rPr>
              <w:t>56</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351</w:t>
            </w:r>
            <w:r>
              <w:rPr>
                <w:rFonts w:hint="eastAsia"/>
                <w:color w:val="000000"/>
                <w:kern w:val="0"/>
                <w:szCs w:val="21"/>
                <w:lang w:eastAsia="zh-CN" w:bidi="en-US"/>
              </w:rPr>
              <w:t>.</w:t>
            </w:r>
            <w:r>
              <w:rPr>
                <w:color w:val="000000"/>
                <w:kern w:val="0"/>
                <w:szCs w:val="21"/>
                <w:lang w:bidi="en-US"/>
              </w:rPr>
              <w:t>82</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495</w:t>
            </w:r>
            <w:r>
              <w:rPr>
                <w:rFonts w:hint="eastAsia"/>
                <w:color w:val="000000"/>
                <w:kern w:val="0"/>
                <w:szCs w:val="21"/>
                <w:lang w:eastAsia="zh-CN" w:bidi="en-US"/>
              </w:rPr>
              <w:t>.</w:t>
            </w:r>
            <w:r>
              <w:rPr>
                <w:color w:val="000000"/>
                <w:kern w:val="0"/>
                <w:szCs w:val="21"/>
                <w:lang w:bidi="en-US"/>
              </w:rPr>
              <w:t>57</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w:t>
            </w:r>
          </w:p>
        </w:tc>
        <w:tc>
          <w:tcPr>
            <w:tcW w:w="189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11 073</w:t>
            </w:r>
            <w:r>
              <w:rPr>
                <w:rFonts w:hint="eastAsia"/>
                <w:color w:val="000000"/>
                <w:kern w:val="0"/>
                <w:szCs w:val="21"/>
                <w:lang w:eastAsia="zh-CN" w:bidi="en-US"/>
              </w:rPr>
              <w:t>.</w:t>
            </w:r>
            <w:r>
              <w:rPr>
                <w:color w:val="000000"/>
                <w:kern w:val="0"/>
                <w:szCs w:val="21"/>
                <w:lang w:bidi="en-US"/>
              </w:rPr>
              <w:t>33</w:t>
            </w:r>
          </w:p>
        </w:tc>
        <w:tc>
          <w:tcPr>
            <w:tcW w:w="18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969</w:t>
            </w:r>
            <w:r>
              <w:rPr>
                <w:rFonts w:hint="eastAsia"/>
                <w:color w:val="000000"/>
                <w:kern w:val="0"/>
                <w:szCs w:val="21"/>
                <w:lang w:eastAsia="zh-CN" w:bidi="en-US"/>
              </w:rPr>
              <w:t>.</w:t>
            </w:r>
            <w:r>
              <w:rPr>
                <w:color w:val="000000"/>
                <w:kern w:val="0"/>
                <w:szCs w:val="21"/>
                <w:lang w:bidi="en-US"/>
              </w:rPr>
              <w:t>43</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977</w:t>
            </w:r>
            <w:r>
              <w:rPr>
                <w:rFonts w:hint="eastAsia"/>
                <w:color w:val="000000"/>
                <w:kern w:val="0"/>
                <w:szCs w:val="21"/>
                <w:lang w:eastAsia="zh-CN" w:bidi="en-US"/>
              </w:rPr>
              <w:t>.</w:t>
            </w:r>
            <w:r>
              <w:rPr>
                <w:color w:val="000000"/>
                <w:kern w:val="0"/>
                <w:szCs w:val="21"/>
                <w:lang w:bidi="en-US"/>
              </w:rPr>
              <w:t>85</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w:t>
            </w:r>
          </w:p>
        </w:tc>
        <w:tc>
          <w:tcPr>
            <w:tcW w:w="189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8 843</w:t>
            </w:r>
            <w:r>
              <w:rPr>
                <w:rFonts w:hint="eastAsia"/>
                <w:color w:val="000000"/>
                <w:kern w:val="0"/>
                <w:szCs w:val="21"/>
                <w:lang w:eastAsia="zh-CN" w:bidi="en-US"/>
              </w:rPr>
              <w:t>.</w:t>
            </w:r>
            <w:r>
              <w:rPr>
                <w:color w:val="000000"/>
                <w:kern w:val="0"/>
                <w:szCs w:val="21"/>
                <w:lang w:bidi="en-US"/>
              </w:rPr>
              <w:t>00</w:t>
            </w:r>
          </w:p>
        </w:tc>
        <w:tc>
          <w:tcPr>
            <w:tcW w:w="18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676</w:t>
            </w:r>
            <w:r>
              <w:rPr>
                <w:rFonts w:hint="eastAsia"/>
                <w:color w:val="000000"/>
                <w:kern w:val="0"/>
                <w:szCs w:val="21"/>
                <w:lang w:eastAsia="zh-CN" w:bidi="en-US"/>
              </w:rPr>
              <w:t>.</w:t>
            </w:r>
            <w:r>
              <w:rPr>
                <w:color w:val="000000"/>
                <w:kern w:val="0"/>
                <w:szCs w:val="21"/>
                <w:lang w:bidi="en-US"/>
              </w:rPr>
              <w:t>68</w:t>
            </w:r>
          </w:p>
        </w:tc>
        <w:tc>
          <w:tcPr>
            <w:tcW w:w="190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1 129</w:t>
            </w:r>
            <w:r>
              <w:rPr>
                <w:rFonts w:hint="eastAsia"/>
                <w:color w:val="000000"/>
                <w:kern w:val="0"/>
                <w:szCs w:val="21"/>
                <w:lang w:eastAsia="zh-CN" w:bidi="en-US"/>
              </w:rPr>
              <w:t>.</w:t>
            </w:r>
            <w:r>
              <w:rPr>
                <w:color w:val="000000"/>
                <w:kern w:val="0"/>
                <w:szCs w:val="21"/>
                <w:lang w:bidi="en-US"/>
              </w:rPr>
              <w:t>09</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5</w:t>
            </w:r>
          </w:p>
        </w:tc>
        <w:tc>
          <w:tcPr>
            <w:tcW w:w="1894"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677</w:t>
            </w:r>
            <w:r>
              <w:rPr>
                <w:rFonts w:hint="eastAsia"/>
                <w:color w:val="000000"/>
                <w:kern w:val="0"/>
                <w:szCs w:val="21"/>
                <w:lang w:eastAsia="zh-CN" w:bidi="en-US"/>
              </w:rPr>
              <w:t>.</w:t>
            </w:r>
            <w:r>
              <w:rPr>
                <w:color w:val="000000"/>
                <w:kern w:val="0"/>
                <w:szCs w:val="21"/>
                <w:lang w:bidi="en-US"/>
              </w:rPr>
              <w:t>60</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42</w:t>
            </w:r>
            <w:r>
              <w:rPr>
                <w:rFonts w:hint="eastAsia"/>
                <w:color w:val="000000"/>
                <w:kern w:val="0"/>
                <w:szCs w:val="21"/>
                <w:lang w:eastAsia="zh-CN" w:bidi="en-US"/>
              </w:rPr>
              <w:t>.</w:t>
            </w:r>
            <w:r>
              <w:rPr>
                <w:color w:val="000000"/>
                <w:kern w:val="0"/>
                <w:szCs w:val="21"/>
                <w:lang w:bidi="en-US"/>
              </w:rPr>
              <w:t>48</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1 157</w:t>
            </w:r>
            <w:r>
              <w:rPr>
                <w:rFonts w:hint="eastAsia"/>
                <w:color w:val="000000"/>
                <w:kern w:val="0"/>
                <w:szCs w:val="21"/>
                <w:lang w:eastAsia="zh-CN" w:bidi="en-US"/>
              </w:rPr>
              <w:t>.</w:t>
            </w:r>
            <w:r>
              <w:rPr>
                <w:color w:val="000000"/>
                <w:kern w:val="0"/>
                <w:szCs w:val="21"/>
                <w:lang w:bidi="en-US"/>
              </w:rPr>
              <w:t>38</w:t>
            </w:r>
          </w:p>
        </w:tc>
      </w:tr>
      <w:tr>
        <w:tblPrEx>
          <w:tblCellMar>
            <w:top w:w="0" w:type="dxa"/>
            <w:left w:w="57" w:type="dxa"/>
            <w:bottom w:w="0" w:type="dxa"/>
            <w:right w:w="57" w:type="dxa"/>
          </w:tblCellMar>
        </w:tblPrEx>
        <w:tc>
          <w:tcPr>
            <w:tcW w:w="190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HBCDD</w:t>
            </w:r>
          </w:p>
        </w:tc>
        <w:tc>
          <w:tcPr>
            <w:tcW w:w="1889"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5</w:t>
            </w:r>
          </w:p>
        </w:tc>
        <w:tc>
          <w:tcPr>
            <w:tcW w:w="1894"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5 795</w:t>
            </w:r>
            <w:r>
              <w:rPr>
                <w:rFonts w:hint="eastAsia"/>
                <w:color w:val="000000"/>
                <w:kern w:val="0"/>
                <w:szCs w:val="21"/>
                <w:lang w:eastAsia="zh-CN" w:bidi="en-US"/>
              </w:rPr>
              <w:t>.</w:t>
            </w:r>
            <w:r>
              <w:rPr>
                <w:color w:val="000000"/>
                <w:kern w:val="0"/>
                <w:szCs w:val="21"/>
                <w:lang w:bidi="en-US"/>
              </w:rPr>
              <w:t>00</w:t>
            </w:r>
          </w:p>
        </w:tc>
        <w:tc>
          <w:tcPr>
            <w:tcW w:w="18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295</w:t>
            </w:r>
            <w:r>
              <w:rPr>
                <w:rFonts w:hint="eastAsia"/>
                <w:color w:val="000000"/>
                <w:kern w:val="0"/>
                <w:szCs w:val="21"/>
                <w:lang w:eastAsia="zh-CN" w:bidi="en-US"/>
              </w:rPr>
              <w:t>.</w:t>
            </w:r>
            <w:r>
              <w:rPr>
                <w:color w:val="000000"/>
                <w:kern w:val="0"/>
                <w:szCs w:val="21"/>
                <w:lang w:bidi="en-US"/>
              </w:rPr>
              <w:t>59</w:t>
            </w:r>
          </w:p>
        </w:tc>
        <w:tc>
          <w:tcPr>
            <w:tcW w:w="1900" w:type="dxa"/>
            <w:tcBorders>
              <w:top w:val="single" w:color="auto" w:sz="4" w:space="0"/>
              <w:left w:val="single" w:color="auto" w:sz="4" w:space="0"/>
              <w:righ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9 944</w:t>
            </w:r>
            <w:r>
              <w:rPr>
                <w:rFonts w:hint="eastAsia"/>
                <w:color w:val="000000"/>
                <w:kern w:val="0"/>
                <w:szCs w:val="21"/>
                <w:lang w:eastAsia="zh-CN" w:bidi="en-US"/>
              </w:rPr>
              <w:t>.</w:t>
            </w:r>
            <w:r>
              <w:rPr>
                <w:color w:val="000000"/>
                <w:kern w:val="0"/>
                <w:szCs w:val="21"/>
                <w:lang w:bidi="en-US"/>
              </w:rPr>
              <w:t>96</w:t>
            </w:r>
          </w:p>
        </w:tc>
      </w:tr>
      <w:tr>
        <w:tblPrEx>
          <w:tblCellMar>
            <w:top w:w="0" w:type="dxa"/>
            <w:left w:w="57" w:type="dxa"/>
            <w:bottom w:w="0" w:type="dxa"/>
            <w:right w:w="57" w:type="dxa"/>
          </w:tblCellMar>
        </w:tblPrEx>
        <w:tc>
          <w:tcPr>
            <w:tcW w:w="9468" w:type="dxa"/>
            <w:gridSpan w:val="5"/>
            <w:tcBorders>
              <w:top w:val="single" w:color="auto" w:sz="4" w:space="0"/>
              <w:left w:val="single" w:color="auto" w:sz="4" w:space="0"/>
              <w:bottom w:val="single" w:color="auto" w:sz="4" w:space="0"/>
              <w:right w:val="single" w:color="auto" w:sz="4" w:space="0"/>
            </w:tcBorders>
            <w:shd w:val="clear" w:color="auto" w:fill="FFFFFF"/>
            <w:vAlign w:val="bottom"/>
          </w:tcPr>
          <w:p>
            <w:pPr>
              <w:rPr>
                <w:b/>
                <w:color w:val="000000"/>
                <w:kern w:val="0"/>
                <w:szCs w:val="21"/>
                <w:lang w:bidi="en-US"/>
              </w:rPr>
            </w:pPr>
            <w:r>
              <w:rPr>
                <w:b/>
                <w:color w:val="000000"/>
                <w:kern w:val="0"/>
                <w:szCs w:val="21"/>
                <w:lang w:bidi="en-US"/>
              </w:rPr>
              <w:t>符号说明</w:t>
            </w:r>
          </w:p>
          <w:p>
            <w:pPr>
              <w:rPr>
                <w:iCs/>
                <w:color w:val="000000"/>
                <w:kern w:val="0"/>
                <w:szCs w:val="21"/>
                <w:lang w:bidi="en-US"/>
              </w:rPr>
            </w:pPr>
            <w:r>
              <w:rPr>
                <w:i/>
                <w:iCs/>
                <w:color w:val="000000"/>
                <w:kern w:val="0"/>
                <w:szCs w:val="21"/>
                <w:lang w:bidi="en-US"/>
              </w:rPr>
              <w:t xml:space="preserve">N </w:t>
            </w:r>
            <w:r>
              <w:rPr>
                <w:i/>
                <w:iCs/>
                <w:color w:val="000000"/>
                <w:kern w:val="0"/>
                <w:szCs w:val="21"/>
                <w:lang w:bidi="en-US"/>
              </w:rPr>
              <w:tab/>
            </w:r>
            <w:r>
              <w:rPr>
                <w:iCs/>
                <w:color w:val="000000"/>
                <w:kern w:val="0"/>
                <w:szCs w:val="21"/>
                <w:lang w:bidi="en-US"/>
              </w:rPr>
              <w:t xml:space="preserve">计算所用的检测结果数量 </w:t>
            </w:r>
          </w:p>
          <w:p>
            <w:pPr>
              <w:rPr>
                <w:iCs/>
                <w:color w:val="000000"/>
                <w:kern w:val="0"/>
                <w:szCs w:val="21"/>
                <w:lang w:bidi="en-US"/>
              </w:rPr>
            </w:pPr>
            <w:r>
              <w:rPr>
                <w:i/>
                <w:iCs/>
                <w:color w:val="000000"/>
                <w:kern w:val="0"/>
                <w:szCs w:val="21"/>
                <w:lang w:bidi="en-US"/>
              </w:rPr>
              <w:t xml:space="preserve">m </w:t>
            </w:r>
            <w:r>
              <w:rPr>
                <w:i/>
                <w:iCs/>
                <w:color w:val="000000"/>
                <w:kern w:val="0"/>
                <w:szCs w:val="21"/>
                <w:lang w:bidi="en-US"/>
              </w:rPr>
              <w:tab/>
            </w:r>
            <w:r>
              <w:rPr>
                <w:iCs/>
                <w:color w:val="000000"/>
                <w:kern w:val="0"/>
                <w:szCs w:val="21"/>
                <w:lang w:bidi="en-US"/>
              </w:rPr>
              <w:t xml:space="preserve">平均值（单位：mg/kg） </w:t>
            </w:r>
          </w:p>
          <w:p>
            <w:pPr>
              <w:rPr>
                <w:iCs/>
                <w:color w:val="000000"/>
                <w:kern w:val="0"/>
                <w:szCs w:val="21"/>
                <w:lang w:bidi="en-US"/>
              </w:rPr>
            </w:pPr>
            <w:r>
              <w:rPr>
                <w:i/>
                <w:iCs/>
                <w:color w:val="000000"/>
                <w:kern w:val="0"/>
                <w:szCs w:val="21"/>
                <w:lang w:bidi="en-US"/>
              </w:rPr>
              <w:t>r</w:t>
            </w:r>
            <w:r>
              <w:rPr>
                <w:iCs/>
                <w:color w:val="000000"/>
                <w:kern w:val="0"/>
                <w:szCs w:val="21"/>
                <w:lang w:bidi="en-US"/>
              </w:rPr>
              <w:t xml:space="preserve"> </w:t>
            </w:r>
            <w:r>
              <w:rPr>
                <w:rFonts w:hint="eastAsia"/>
                <w:iCs/>
                <w:color w:val="000000"/>
                <w:kern w:val="0"/>
                <w:szCs w:val="21"/>
                <w:lang w:bidi="en-US"/>
              </w:rPr>
              <w:tab/>
            </w:r>
            <w:r>
              <w:rPr>
                <w:iCs/>
                <w:color w:val="000000"/>
                <w:kern w:val="0"/>
                <w:szCs w:val="21"/>
                <w:lang w:bidi="en-US"/>
              </w:rPr>
              <w:t>重复性</w:t>
            </w:r>
            <w:r>
              <w:rPr>
                <w:kern w:val="0"/>
                <w:szCs w:val="21"/>
              </w:rPr>
              <w:t>限</w:t>
            </w:r>
            <w:r>
              <w:rPr>
                <w:iCs/>
                <w:color w:val="000000"/>
                <w:kern w:val="0"/>
                <w:szCs w:val="21"/>
                <w:lang w:bidi="en-US"/>
              </w:rPr>
              <w:t xml:space="preserve"> </w:t>
            </w:r>
          </w:p>
          <w:p>
            <w:pPr>
              <w:rPr>
                <w:iCs/>
                <w:color w:val="000000"/>
                <w:kern w:val="0"/>
                <w:szCs w:val="21"/>
                <w:lang w:bidi="en-US"/>
              </w:rPr>
            </w:pPr>
            <w:r>
              <w:rPr>
                <w:i/>
                <w:iCs/>
                <w:color w:val="000000"/>
                <w:kern w:val="0"/>
                <w:szCs w:val="21"/>
                <w:lang w:bidi="en-US"/>
              </w:rPr>
              <w:t xml:space="preserve">R </w:t>
            </w:r>
            <w:r>
              <w:rPr>
                <w:i/>
                <w:iCs/>
                <w:color w:val="000000"/>
                <w:kern w:val="0"/>
                <w:szCs w:val="21"/>
                <w:lang w:bidi="en-US"/>
              </w:rPr>
              <w:tab/>
            </w:r>
            <w:r>
              <w:rPr>
                <w:iCs/>
                <w:color w:val="000000"/>
                <w:kern w:val="0"/>
                <w:szCs w:val="21"/>
                <w:lang w:bidi="en-US"/>
              </w:rPr>
              <w:t>再现性</w:t>
            </w:r>
            <w:r>
              <w:rPr>
                <w:color w:val="000000"/>
                <w:kern w:val="0"/>
                <w:szCs w:val="21"/>
                <w:lang w:bidi="en-US"/>
              </w:rPr>
              <w:t>限</w:t>
            </w:r>
          </w:p>
        </w:tc>
      </w:tr>
    </w:tbl>
    <w:p>
      <w:pPr>
        <w:ind w:left="848" w:leftChars="175" w:hanging="480"/>
        <w:rPr>
          <w:color w:val="000000"/>
          <w:kern w:val="0"/>
          <w:szCs w:val="21"/>
          <w:lang w:bidi="en-US"/>
        </w:rPr>
      </w:pPr>
      <w:r>
        <w:rPr>
          <w:color w:val="000000"/>
          <w:kern w:val="0"/>
          <w:szCs w:val="21"/>
          <w:lang w:bidi="en-US"/>
        </w:rPr>
        <w:t>支持数据详见附录C（国际实验室研究结果（IIS9））。</w:t>
      </w:r>
    </w:p>
    <w:p>
      <w:pPr>
        <w:pStyle w:val="47"/>
      </w:pPr>
      <w:r>
        <w:t>A.8 质量保证与质量控制</w:t>
      </w:r>
    </w:p>
    <w:p>
      <w:pPr>
        <w:pStyle w:val="47"/>
      </w:pPr>
      <w:bookmarkStart w:id="49" w:name="bookmark43"/>
      <w:r>
        <w:t>A.8.1 性能</w:t>
      </w:r>
      <w:bookmarkEnd w:id="49"/>
    </w:p>
    <w:p>
      <w:pPr>
        <w:ind w:left="848" w:leftChars="175" w:hanging="480"/>
        <w:rPr>
          <w:color w:val="000000"/>
          <w:kern w:val="0"/>
          <w:szCs w:val="21"/>
          <w:lang w:bidi="en-US"/>
        </w:rPr>
      </w:pPr>
      <w:r>
        <w:rPr>
          <w:color w:val="000000"/>
          <w:kern w:val="0"/>
          <w:szCs w:val="21"/>
          <w:lang w:bidi="en-US"/>
        </w:rPr>
        <w:t>a）标准品加标回收率</w:t>
      </w:r>
    </w:p>
    <w:p>
      <w:pPr>
        <w:ind w:left="848" w:leftChars="175" w:hanging="480"/>
        <w:rPr>
          <w:color w:val="000000"/>
          <w:kern w:val="0"/>
          <w:szCs w:val="21"/>
          <w:lang w:bidi="en-US"/>
        </w:rPr>
      </w:pPr>
      <w:r>
        <w:rPr>
          <w:color w:val="000000"/>
          <w:kern w:val="0"/>
          <w:szCs w:val="21"/>
          <w:lang w:bidi="en-US"/>
        </w:rPr>
        <w:t>为了测定准确度、正确度和回收率，应完成以下两组实验：</w:t>
      </w:r>
    </w:p>
    <w:p>
      <w:pPr>
        <w:ind w:left="848" w:leftChars="175" w:hanging="480"/>
        <w:rPr>
          <w:color w:val="000000"/>
          <w:kern w:val="0"/>
          <w:szCs w:val="21"/>
          <w:lang w:bidi="en-US"/>
        </w:rPr>
      </w:pPr>
      <w:r>
        <w:rPr>
          <w:color w:val="000000"/>
          <w:kern w:val="0"/>
          <w:szCs w:val="21"/>
          <w:lang w:bidi="en-US"/>
        </w:rPr>
        <w:t>1）用六溴环十二烷标准品对样品提取物加标；</w:t>
      </w:r>
    </w:p>
    <w:p>
      <w:pPr>
        <w:ind w:left="848" w:leftChars="175" w:hanging="480"/>
        <w:rPr>
          <w:color w:val="000000"/>
          <w:kern w:val="0"/>
          <w:szCs w:val="21"/>
          <w:lang w:bidi="en-US"/>
        </w:rPr>
      </w:pPr>
      <w:r>
        <w:rPr>
          <w:color w:val="000000"/>
          <w:kern w:val="0"/>
          <w:szCs w:val="21"/>
          <w:lang w:bidi="en-US"/>
        </w:rPr>
        <w:t>2）确定独立标准品的回收率。</w:t>
      </w:r>
    </w:p>
    <w:p>
      <w:pPr>
        <w:ind w:left="848" w:leftChars="175" w:hanging="480"/>
        <w:rPr>
          <w:color w:val="000000"/>
          <w:kern w:val="0"/>
          <w:szCs w:val="21"/>
          <w:lang w:bidi="en-US"/>
        </w:rPr>
      </w:pPr>
      <w:r>
        <w:rPr>
          <w:color w:val="000000"/>
          <w:kern w:val="0"/>
          <w:szCs w:val="21"/>
          <w:lang w:bidi="en-US"/>
        </w:rPr>
        <w:t>对于这两组实验，给定值回收率应在90％至110％之间。</w:t>
      </w:r>
    </w:p>
    <w:p>
      <w:pPr>
        <w:ind w:left="848" w:leftChars="175" w:hanging="480"/>
        <w:rPr>
          <w:color w:val="000000"/>
          <w:kern w:val="0"/>
          <w:szCs w:val="21"/>
          <w:lang w:bidi="en-US"/>
        </w:rPr>
      </w:pPr>
      <w:r>
        <w:rPr>
          <w:color w:val="000000"/>
          <w:kern w:val="0"/>
          <w:szCs w:val="21"/>
          <w:lang w:bidi="en-US"/>
        </w:rPr>
        <w:t>b）内部对照样品和空白样品</w:t>
      </w:r>
    </w:p>
    <w:p>
      <w:pPr>
        <w:ind w:firstLine="420" w:firstLineChars="200"/>
        <w:rPr>
          <w:kern w:val="0"/>
          <w:szCs w:val="21"/>
        </w:rPr>
      </w:pPr>
      <w:r>
        <w:rPr>
          <w:kern w:val="0"/>
          <w:szCs w:val="21"/>
        </w:rPr>
        <w:t>经常重新校准，包括测</w:t>
      </w:r>
      <w:r>
        <w:rPr>
          <w:kern w:val="0"/>
          <w:szCs w:val="21"/>
          <w:highlight w:val="none"/>
        </w:rPr>
        <w:t>定内部对照样品和</w:t>
      </w:r>
      <w:r>
        <w:rPr>
          <w:kern w:val="0"/>
          <w:szCs w:val="21"/>
        </w:rPr>
        <w:t>空白值，以确保仪器的正常运行。</w:t>
      </w:r>
    </w:p>
    <w:p>
      <w:pPr>
        <w:ind w:firstLine="420" w:firstLineChars="200"/>
        <w:rPr>
          <w:kern w:val="0"/>
          <w:szCs w:val="21"/>
        </w:rPr>
      </w:pPr>
      <w:r>
        <w:rPr>
          <w:kern w:val="0"/>
          <w:szCs w:val="21"/>
        </w:rPr>
        <w:t>通过定期检查来确保测定质量。</w:t>
      </w:r>
    </w:p>
    <w:p>
      <w:pPr>
        <w:ind w:firstLine="420" w:firstLineChars="200"/>
        <w:rPr>
          <w:kern w:val="0"/>
          <w:szCs w:val="21"/>
        </w:rPr>
      </w:pPr>
      <w:r>
        <w:rPr>
          <w:kern w:val="0"/>
          <w:szCs w:val="21"/>
        </w:rPr>
        <w:t>每个月或必要时完成全面重新校准。</w:t>
      </w:r>
    </w:p>
    <w:p>
      <w:pPr>
        <w:ind w:firstLine="420" w:firstLineChars="200"/>
        <w:rPr>
          <w:kern w:val="0"/>
          <w:szCs w:val="21"/>
        </w:rPr>
      </w:pPr>
      <w:r>
        <w:rPr>
          <w:kern w:val="0"/>
          <w:szCs w:val="21"/>
        </w:rPr>
        <w:t>将独立质量对照标准品用作质量控制卡，用于保持HBCDD标准品的峰面积。独立验证标准品的可接受回收率为：定性样品为70％至130％，定量样品为90％至110％。</w:t>
      </w:r>
    </w:p>
    <w:p>
      <w:pPr>
        <w:pStyle w:val="47"/>
        <w:rPr>
          <w:rFonts w:hint="eastAsia" w:eastAsia="黑体"/>
          <w:lang w:eastAsia="zh-CN"/>
        </w:rPr>
      </w:pPr>
      <w:bookmarkStart w:id="50" w:name="bookmark44"/>
      <w:r>
        <w:t>A.8.2 方法检出限（MDL）和</w:t>
      </w:r>
      <w:bookmarkEnd w:id="50"/>
      <w:r>
        <w:rPr>
          <w:rFonts w:hint="eastAsia"/>
          <w:lang w:eastAsia="zh-CN"/>
        </w:rPr>
        <w:t>定量限</w:t>
      </w:r>
    </w:p>
    <w:p>
      <w:pPr>
        <w:ind w:firstLine="420" w:firstLineChars="200"/>
        <w:rPr>
          <w:rFonts w:hint="eastAsia" w:eastAsia="宋体"/>
          <w:kern w:val="0"/>
          <w:szCs w:val="21"/>
          <w:highlight w:val="none"/>
          <w:lang w:eastAsia="zh-CN"/>
        </w:rPr>
      </w:pPr>
      <w:r>
        <w:rPr>
          <w:rFonts w:hint="eastAsia"/>
          <w:kern w:val="0"/>
          <w:szCs w:val="21"/>
          <w:highlight w:val="none"/>
          <w:lang w:val="en-US" w:eastAsia="zh-CN"/>
        </w:rPr>
        <w:t>在进行测试</w:t>
      </w:r>
      <w:r>
        <w:rPr>
          <w:kern w:val="0"/>
          <w:szCs w:val="21"/>
          <w:highlight w:val="none"/>
        </w:rPr>
        <w:t>之前以及每次方法或仪器类型发生重大变化时，应</w:t>
      </w:r>
      <w:r>
        <w:rPr>
          <w:rFonts w:hint="eastAsia"/>
          <w:kern w:val="0"/>
          <w:szCs w:val="21"/>
          <w:highlight w:val="none"/>
          <w:lang w:val="en-US" w:eastAsia="zh-CN"/>
        </w:rPr>
        <w:t>对</w:t>
      </w:r>
      <w:r>
        <w:rPr>
          <w:kern w:val="0"/>
          <w:szCs w:val="21"/>
          <w:highlight w:val="none"/>
        </w:rPr>
        <w:t>方法检出限（MDL）</w:t>
      </w:r>
      <w:r>
        <w:rPr>
          <w:rFonts w:hint="eastAsia"/>
          <w:kern w:val="0"/>
          <w:szCs w:val="21"/>
          <w:highlight w:val="none"/>
          <w:lang w:val="en-US" w:eastAsia="zh-CN"/>
        </w:rPr>
        <w:t>进行确认</w:t>
      </w:r>
      <w:r>
        <w:rPr>
          <w:kern w:val="0"/>
          <w:szCs w:val="21"/>
          <w:highlight w:val="none"/>
        </w:rPr>
        <w:t>。LOD或MDL最</w:t>
      </w:r>
      <w:r>
        <w:rPr>
          <w:rFonts w:hint="eastAsia"/>
          <w:kern w:val="0"/>
          <w:szCs w:val="21"/>
          <w:highlight w:val="none"/>
          <w:lang w:val="en-US" w:eastAsia="zh-CN"/>
        </w:rPr>
        <w:t>好</w:t>
      </w:r>
      <w:r>
        <w:rPr>
          <w:kern w:val="0"/>
          <w:szCs w:val="21"/>
          <w:highlight w:val="none"/>
        </w:rPr>
        <w:t>通过在整个测试程序中（包括提取）对低水平或强化样品基质（例如塑料）进行</w:t>
      </w:r>
      <w:r>
        <w:rPr>
          <w:rFonts w:hint="eastAsia"/>
          <w:kern w:val="0"/>
          <w:szCs w:val="21"/>
          <w:highlight w:val="none"/>
          <w:lang w:val="en-US" w:eastAsia="zh-CN"/>
        </w:rPr>
        <w:t>重</w:t>
      </w:r>
      <w:r>
        <w:rPr>
          <w:kern w:val="0"/>
          <w:szCs w:val="21"/>
          <w:highlight w:val="none"/>
        </w:rPr>
        <w:t>复独立测量来确定。</w:t>
      </w:r>
      <w:r>
        <w:rPr>
          <w:rFonts w:hint="eastAsia"/>
          <w:kern w:val="0"/>
          <w:szCs w:val="21"/>
          <w:highlight w:val="none"/>
          <w:lang w:val="en-US" w:eastAsia="zh-CN"/>
        </w:rPr>
        <w:t>对于该</w:t>
      </w:r>
      <w:r>
        <w:rPr>
          <w:kern w:val="0"/>
          <w:szCs w:val="21"/>
          <w:highlight w:val="none"/>
        </w:rPr>
        <w:t>分析，至少</w:t>
      </w:r>
      <w:r>
        <w:rPr>
          <w:rFonts w:hint="eastAsia"/>
          <w:kern w:val="0"/>
          <w:szCs w:val="21"/>
          <w:highlight w:val="none"/>
          <w:lang w:val="en-US" w:eastAsia="zh-CN"/>
        </w:rPr>
        <w:t>6</w:t>
      </w:r>
      <w:r>
        <w:rPr>
          <w:kern w:val="0"/>
          <w:szCs w:val="21"/>
          <w:highlight w:val="none"/>
        </w:rPr>
        <w:t>次重复</w:t>
      </w:r>
      <w:r>
        <w:rPr>
          <w:rFonts w:hint="eastAsia"/>
          <w:kern w:val="0"/>
          <w:szCs w:val="21"/>
          <w:highlight w:val="none"/>
          <w:lang w:val="en-US" w:eastAsia="zh-CN"/>
        </w:rPr>
        <w:t>分析</w:t>
      </w:r>
      <w:r>
        <w:rPr>
          <w:kern w:val="0"/>
          <w:szCs w:val="21"/>
          <w:highlight w:val="none"/>
        </w:rPr>
        <w:t>，</w:t>
      </w:r>
      <w:r>
        <w:rPr>
          <w:rFonts w:hint="eastAsia"/>
          <w:kern w:val="0"/>
          <w:szCs w:val="21"/>
          <w:highlight w:val="none"/>
          <w:lang w:val="en-US" w:eastAsia="zh-CN"/>
        </w:rPr>
        <w:t>并且分析物浓度至少为预估计</w:t>
      </w:r>
      <w:r>
        <w:rPr>
          <w:rFonts w:hint="default"/>
          <w:kern w:val="0"/>
          <w:szCs w:val="21"/>
          <w:highlight w:val="none"/>
        </w:rPr>
        <w:t>LOD或MDL</w:t>
      </w:r>
      <w:r>
        <w:rPr>
          <w:rFonts w:hint="eastAsia"/>
          <w:kern w:val="0"/>
          <w:szCs w:val="21"/>
          <w:highlight w:val="none"/>
          <w:lang w:val="en-US" w:eastAsia="zh-CN"/>
        </w:rPr>
        <w:t>的3~5倍。一个完整测试的最终</w:t>
      </w:r>
      <w:r>
        <w:rPr>
          <w:rFonts w:hint="default"/>
          <w:kern w:val="0"/>
          <w:szCs w:val="21"/>
          <w:highlight w:val="none"/>
        </w:rPr>
        <w:t>LOD或MDL</w:t>
      </w:r>
      <w:r>
        <w:rPr>
          <w:rFonts w:hint="eastAsia"/>
          <w:kern w:val="0"/>
          <w:szCs w:val="21"/>
          <w:highlight w:val="none"/>
          <w:lang w:val="en-US" w:eastAsia="zh-CN"/>
        </w:rPr>
        <w:t>是通过重复测试样品的</w:t>
      </w:r>
      <w:r>
        <w:rPr>
          <w:rFonts w:hint="default"/>
          <w:kern w:val="0"/>
          <w:szCs w:val="21"/>
          <w:highlight w:val="none"/>
        </w:rPr>
        <w:t>标准偏差乘以适当</w:t>
      </w:r>
      <w:r>
        <w:rPr>
          <w:rFonts w:hint="eastAsia"/>
          <w:kern w:val="0"/>
          <w:szCs w:val="21"/>
          <w:highlight w:val="none"/>
          <w:lang w:val="en-US" w:eastAsia="zh-CN"/>
        </w:rPr>
        <w:t>的</w:t>
      </w:r>
      <w:r>
        <w:rPr>
          <w:rFonts w:hint="default"/>
          <w:kern w:val="0"/>
          <w:szCs w:val="21"/>
          <w:highlight w:val="none"/>
        </w:rPr>
        <w:t>因子</w:t>
      </w:r>
      <w:r>
        <w:rPr>
          <w:rFonts w:hint="eastAsia"/>
          <w:kern w:val="0"/>
          <w:szCs w:val="21"/>
          <w:highlight w:val="none"/>
          <w:lang w:val="en-US" w:eastAsia="zh-CN"/>
        </w:rPr>
        <w:t>进行</w:t>
      </w:r>
      <w:r>
        <w:rPr>
          <w:rFonts w:hint="default"/>
          <w:kern w:val="0"/>
          <w:szCs w:val="21"/>
          <w:highlight w:val="none"/>
        </w:rPr>
        <w:t>确定</w:t>
      </w:r>
      <w:r>
        <w:rPr>
          <w:rFonts w:hint="eastAsia"/>
          <w:kern w:val="0"/>
          <w:szCs w:val="21"/>
          <w:highlight w:val="none"/>
          <w:lang w:val="en-US" w:eastAsia="zh-CN"/>
        </w:rPr>
        <w:t>的</w:t>
      </w:r>
      <w:r>
        <w:rPr>
          <w:rFonts w:hint="default"/>
          <w:kern w:val="0"/>
          <w:szCs w:val="21"/>
          <w:highlight w:val="none"/>
        </w:rPr>
        <w:t>。国际纯粹与应用化学联合会（IUPAC）</w:t>
      </w:r>
      <w:r>
        <w:rPr>
          <w:rFonts w:hint="eastAsia"/>
          <w:kern w:val="0"/>
          <w:szCs w:val="21"/>
          <w:highlight w:val="none"/>
          <w:lang w:val="en-US" w:eastAsia="zh-CN"/>
        </w:rPr>
        <w:t>推荐最少6次重复因子为3，</w:t>
      </w:r>
      <w:r>
        <w:rPr>
          <w:rFonts w:hint="default"/>
          <w:kern w:val="0"/>
          <w:szCs w:val="21"/>
          <w:highlight w:val="none"/>
        </w:rPr>
        <w:t>而美国环境保护</w:t>
      </w:r>
      <w:r>
        <w:rPr>
          <w:rFonts w:hint="eastAsia"/>
          <w:kern w:val="0"/>
          <w:szCs w:val="21"/>
          <w:highlight w:val="none"/>
          <w:lang w:val="en-US" w:eastAsia="zh-CN"/>
        </w:rPr>
        <w:t>局</w:t>
      </w:r>
      <w:r>
        <w:rPr>
          <w:rFonts w:hint="default"/>
          <w:kern w:val="0"/>
          <w:szCs w:val="21"/>
          <w:highlight w:val="none"/>
        </w:rPr>
        <w:t>（EPA）使用单侧置信区间，</w:t>
      </w:r>
      <w:r>
        <w:rPr>
          <w:rFonts w:hint="eastAsia"/>
          <w:kern w:val="0"/>
          <w:szCs w:val="21"/>
          <w:highlight w:val="none"/>
          <w:lang w:val="en-US" w:eastAsia="zh-CN"/>
        </w:rPr>
        <w:t>因子为选择重复测试次数和置信水平下t分布值</w:t>
      </w:r>
      <w:r>
        <w:rPr>
          <w:rFonts w:hint="default"/>
          <w:kern w:val="0"/>
          <w:szCs w:val="21"/>
          <w:highlight w:val="none"/>
        </w:rPr>
        <w:t>（例如，t = 3.36</w:t>
      </w:r>
      <w:r>
        <w:rPr>
          <w:rFonts w:hint="eastAsia"/>
          <w:kern w:val="0"/>
          <w:szCs w:val="21"/>
          <w:highlight w:val="none"/>
          <w:lang w:eastAsia="zh-CN"/>
        </w:rPr>
        <w:t>，</w:t>
      </w:r>
      <w:r>
        <w:rPr>
          <w:rFonts w:hint="default"/>
          <w:kern w:val="0"/>
          <w:szCs w:val="21"/>
          <w:highlight w:val="none"/>
        </w:rPr>
        <w:t>6次重复</w:t>
      </w:r>
      <w:r>
        <w:rPr>
          <w:rFonts w:hint="eastAsia"/>
          <w:kern w:val="0"/>
          <w:szCs w:val="21"/>
          <w:highlight w:val="none"/>
          <w:lang w:eastAsia="zh-CN"/>
        </w:rPr>
        <w:t>，</w:t>
      </w:r>
      <w:r>
        <w:rPr>
          <w:rFonts w:hint="default"/>
          <w:kern w:val="0"/>
          <w:szCs w:val="21"/>
          <w:highlight w:val="none"/>
        </w:rPr>
        <w:t>99%置信度）</w:t>
      </w:r>
      <w:r>
        <w:rPr>
          <w:rFonts w:hint="eastAsia"/>
          <w:kern w:val="0"/>
          <w:szCs w:val="21"/>
          <w:highlight w:val="none"/>
          <w:lang w:eastAsia="zh-CN"/>
        </w:rPr>
        <w:t>：</w:t>
      </w:r>
    </w:p>
    <w:p>
      <w:pPr>
        <w:ind w:firstLine="360" w:firstLineChars="200"/>
        <w:rPr>
          <w:kern w:val="0"/>
          <w:sz w:val="18"/>
          <w:szCs w:val="18"/>
        </w:rPr>
      </w:pPr>
      <w:r>
        <w:rPr>
          <w:rFonts w:hint="eastAsia" w:ascii="黑体" w:hAnsi="黑体" w:eastAsia="黑体" w:cs="黑体"/>
          <w:kern w:val="0"/>
          <w:sz w:val="18"/>
          <w:szCs w:val="18"/>
        </w:rPr>
        <w:t>注1：</w:t>
      </w:r>
      <w:r>
        <w:rPr>
          <w:kern w:val="0"/>
          <w:sz w:val="18"/>
          <w:szCs w:val="18"/>
        </w:rPr>
        <w:t>用于计算MDL的所有分析可具有连续性。</w:t>
      </w:r>
    </w:p>
    <w:p>
      <w:pPr>
        <w:ind w:left="851" w:leftChars="200" w:hanging="431"/>
        <w:rPr>
          <w:color w:val="000000"/>
          <w:kern w:val="0"/>
          <w:szCs w:val="21"/>
          <w:lang w:bidi="en-US"/>
        </w:rPr>
      </w:pPr>
      <w:r>
        <w:rPr>
          <w:kern w:val="0"/>
          <w:szCs w:val="21"/>
        </w:rPr>
        <w:t>a）</w:t>
      </w:r>
      <w:r>
        <w:rPr>
          <w:kern w:val="0"/>
          <w:szCs w:val="21"/>
        </w:rPr>
        <w:tab/>
      </w:r>
      <w:r>
        <w:rPr>
          <w:color w:val="000000"/>
          <w:kern w:val="0"/>
          <w:szCs w:val="21"/>
          <w:lang w:bidi="en-US"/>
        </w:rPr>
        <w:t>从已知不含HBCDD或其他可能干扰分析的化合物纯净来源中，研磨约5 g合适的聚合物。</w:t>
      </w:r>
    </w:p>
    <w:p>
      <w:pPr>
        <w:ind w:left="851" w:leftChars="200" w:hanging="431"/>
        <w:rPr>
          <w:color w:val="000000"/>
          <w:kern w:val="0"/>
          <w:szCs w:val="21"/>
          <w:lang w:bidi="en-US"/>
        </w:rPr>
      </w:pPr>
      <w:r>
        <w:rPr>
          <w:color w:val="000000"/>
          <w:kern w:val="0"/>
          <w:szCs w:val="21"/>
          <w:lang w:bidi="en-US"/>
        </w:rPr>
        <w:t>b）</w:t>
      </w:r>
      <w:r>
        <w:rPr>
          <w:color w:val="000000"/>
          <w:kern w:val="0"/>
          <w:szCs w:val="21"/>
          <w:lang w:bidi="en-US"/>
        </w:rPr>
        <w:tab/>
      </w:r>
      <w:r>
        <w:rPr>
          <w:color w:val="000000"/>
          <w:kern w:val="0"/>
          <w:szCs w:val="21"/>
          <w:lang w:bidi="en-US"/>
        </w:rPr>
        <w:t>称量0</w:t>
      </w:r>
      <w:r>
        <w:rPr>
          <w:rFonts w:hint="eastAsia"/>
          <w:color w:val="000000"/>
          <w:kern w:val="0"/>
          <w:szCs w:val="21"/>
          <w:lang w:val="en-US" w:eastAsia="zh-CN" w:bidi="en-US"/>
        </w:rPr>
        <w:t>.</w:t>
      </w:r>
      <w:r>
        <w:rPr>
          <w:color w:val="000000"/>
          <w:kern w:val="0"/>
          <w:szCs w:val="21"/>
          <w:lang w:bidi="en-US"/>
        </w:rPr>
        <w:t>5 g研磨后的聚合物，将其放入新的提取套管</w:t>
      </w:r>
      <w:r>
        <w:rPr>
          <w:rFonts w:hint="eastAsia"/>
          <w:color w:val="000000"/>
          <w:kern w:val="0"/>
          <w:szCs w:val="21"/>
          <w:lang w:eastAsia="zh-CN" w:bidi="en-US"/>
        </w:rPr>
        <w:t>，</w:t>
      </w:r>
      <w:r>
        <w:rPr>
          <w:rFonts w:hint="eastAsia"/>
          <w:color w:val="000000"/>
          <w:kern w:val="0"/>
          <w:szCs w:val="21"/>
          <w:lang w:val="en-US" w:eastAsia="zh-CN" w:bidi="en-US"/>
        </w:rPr>
        <w:t>再</w:t>
      </w:r>
      <w:r>
        <w:rPr>
          <w:color w:val="000000"/>
          <w:kern w:val="0"/>
          <w:szCs w:val="21"/>
          <w:lang w:bidi="en-US"/>
        </w:rPr>
        <w:t>重复此步骤六次。</w:t>
      </w:r>
    </w:p>
    <w:p>
      <w:pPr>
        <w:ind w:left="851" w:leftChars="200" w:hanging="431"/>
        <w:rPr>
          <w:color w:val="000000"/>
          <w:kern w:val="0"/>
          <w:szCs w:val="21"/>
          <w:lang w:bidi="en-US"/>
        </w:rPr>
      </w:pPr>
      <w:r>
        <w:rPr>
          <w:color w:val="000000"/>
          <w:kern w:val="0"/>
          <w:szCs w:val="21"/>
          <w:lang w:bidi="en-US"/>
        </w:rPr>
        <w:t>c）</w:t>
      </w:r>
      <w:r>
        <w:rPr>
          <w:color w:val="000000"/>
          <w:kern w:val="0"/>
          <w:szCs w:val="21"/>
          <w:lang w:bidi="en-US"/>
        </w:rPr>
        <w:tab/>
      </w:r>
      <w:r>
        <w:rPr>
          <w:color w:val="000000"/>
          <w:kern w:val="0"/>
          <w:szCs w:val="21"/>
          <w:lang w:bidi="en-US"/>
        </w:rPr>
        <w:t>将提取套管放入索氏提取器。</w:t>
      </w:r>
    </w:p>
    <w:p>
      <w:pPr>
        <w:ind w:left="851" w:leftChars="200" w:hanging="431"/>
        <w:rPr>
          <w:color w:val="000000"/>
          <w:kern w:val="0"/>
          <w:szCs w:val="21"/>
          <w:lang w:bidi="en-US"/>
        </w:rPr>
      </w:pPr>
      <w:r>
        <w:rPr>
          <w:color w:val="000000"/>
          <w:kern w:val="0"/>
          <w:szCs w:val="21"/>
          <w:lang w:bidi="en-US"/>
        </w:rPr>
        <w:t>d）</w:t>
      </w:r>
      <w:r>
        <w:rPr>
          <w:color w:val="000000"/>
          <w:kern w:val="0"/>
          <w:szCs w:val="21"/>
          <w:lang w:bidi="en-US"/>
        </w:rPr>
        <w:tab/>
      </w:r>
      <w:r>
        <w:rPr>
          <w:color w:val="000000"/>
          <w:kern w:val="0"/>
          <w:szCs w:val="21"/>
          <w:lang w:bidi="en-US"/>
        </w:rPr>
        <w:t>在套管中加入0.1</w:t>
      </w:r>
      <w:r>
        <w:rPr>
          <w:rFonts w:hint="eastAsia"/>
          <w:color w:val="000000"/>
          <w:kern w:val="0"/>
          <w:szCs w:val="21"/>
          <w:lang w:eastAsia="zh-CN" w:bidi="en-US"/>
        </w:rPr>
        <w:t xml:space="preserve"> mL</w:t>
      </w:r>
      <w:r>
        <w:rPr>
          <w:color w:val="000000"/>
          <w:kern w:val="0"/>
          <w:szCs w:val="21"/>
          <w:lang w:bidi="en-US"/>
        </w:rPr>
        <w:t>的HBCDD（100μg/</w:t>
      </w:r>
      <w:r>
        <w:rPr>
          <w:rFonts w:hint="eastAsia"/>
          <w:color w:val="000000"/>
          <w:kern w:val="0"/>
          <w:szCs w:val="21"/>
          <w:lang w:eastAsia="zh-CN" w:bidi="en-US"/>
        </w:rPr>
        <w:t xml:space="preserve"> mL</w:t>
      </w:r>
      <w:r>
        <w:rPr>
          <w:color w:val="000000"/>
          <w:kern w:val="0"/>
          <w:szCs w:val="21"/>
          <w:lang w:bidi="en-US"/>
        </w:rPr>
        <w:t>），与最低浓度校准品的浓度相近。</w:t>
      </w:r>
    </w:p>
    <w:p>
      <w:pPr>
        <w:ind w:left="851" w:leftChars="200" w:hanging="431"/>
        <w:rPr>
          <w:color w:val="000000"/>
          <w:kern w:val="0"/>
          <w:szCs w:val="21"/>
          <w:lang w:bidi="en-US"/>
        </w:rPr>
      </w:pPr>
      <w:r>
        <w:rPr>
          <w:color w:val="000000"/>
          <w:kern w:val="0"/>
          <w:szCs w:val="21"/>
          <w:lang w:bidi="en-US"/>
        </w:rPr>
        <w:t>e）</w:t>
      </w:r>
      <w:r>
        <w:rPr>
          <w:color w:val="000000"/>
          <w:kern w:val="0"/>
          <w:szCs w:val="21"/>
          <w:lang w:bidi="en-US"/>
        </w:rPr>
        <w:tab/>
      </w:r>
      <w:r>
        <w:rPr>
          <w:color w:val="000000"/>
          <w:kern w:val="0"/>
          <w:szCs w:val="21"/>
          <w:lang w:bidi="en-US"/>
        </w:rPr>
        <w:t>执行程序（根据 A.5.2.2或A.5.2.3提取）来提取每份样品。完成相应分析。</w:t>
      </w:r>
    </w:p>
    <w:p>
      <w:pPr>
        <w:ind w:left="851" w:leftChars="200" w:hanging="431"/>
        <w:rPr>
          <w:color w:val="000000"/>
          <w:kern w:val="0"/>
          <w:szCs w:val="21"/>
          <w:lang w:bidi="en-US"/>
        </w:rPr>
      </w:pPr>
      <w:r>
        <w:rPr>
          <w:color w:val="000000"/>
          <w:kern w:val="0"/>
          <w:szCs w:val="21"/>
          <w:lang w:bidi="en-US"/>
        </w:rPr>
        <w:t>f）</w:t>
      </w:r>
      <w:r>
        <w:rPr>
          <w:color w:val="000000"/>
          <w:kern w:val="0"/>
          <w:szCs w:val="21"/>
          <w:lang w:bidi="en-US"/>
        </w:rPr>
        <w:tab/>
      </w:r>
      <w:r>
        <w:rPr>
          <w:color w:val="000000"/>
          <w:kern w:val="0"/>
          <w:szCs w:val="21"/>
          <w:lang w:bidi="en-US"/>
        </w:rPr>
        <w:t>每份HBCDD的回收率范围应在70％至130％之间。如果回收率高于或低于这些限值，应重新进行分析。如果第二次回收率超出了这些限值，则应重复整个提取和分析程序。</w:t>
      </w:r>
    </w:p>
    <w:p>
      <w:pPr>
        <w:ind w:left="851" w:leftChars="200" w:hanging="431"/>
        <w:rPr>
          <w:color w:val="000000"/>
          <w:kern w:val="0"/>
          <w:szCs w:val="21"/>
          <w:lang w:bidi="en-US"/>
        </w:rPr>
      </w:pPr>
      <w:r>
        <w:rPr>
          <w:color w:val="000000"/>
          <w:kern w:val="0"/>
          <w:szCs w:val="21"/>
          <w:lang w:bidi="en-US"/>
        </w:rPr>
        <w:t>g）</w:t>
      </w:r>
      <w:r>
        <w:rPr>
          <w:color w:val="000000"/>
          <w:kern w:val="0"/>
          <w:szCs w:val="21"/>
          <w:lang w:bidi="en-US"/>
        </w:rPr>
        <w:tab/>
      </w:r>
      <w:r>
        <w:rPr>
          <w:color w:val="000000"/>
          <w:kern w:val="0"/>
          <w:szCs w:val="21"/>
          <w:lang w:bidi="en-US"/>
        </w:rPr>
        <w:t>HBCDD的MDL计算结果应小于或等于20 mg/kg。如果任何一份HBCDD的MDL计算结果高于这些限值，则应对该HBCDD重新执行提取和分析程序。</w:t>
      </w:r>
    </w:p>
    <w:p>
      <w:pPr>
        <w:ind w:left="851" w:leftChars="200" w:hanging="431"/>
        <w:rPr>
          <w:color w:val="000000"/>
          <w:kern w:val="0"/>
          <w:szCs w:val="21"/>
          <w:lang w:bidi="en-US"/>
        </w:rPr>
      </w:pPr>
      <w:r>
        <w:rPr>
          <w:color w:val="000000"/>
          <w:kern w:val="0"/>
          <w:szCs w:val="21"/>
          <w:lang w:bidi="en-US"/>
        </w:rPr>
        <w:t>h）</w:t>
      </w:r>
      <w:r>
        <w:rPr>
          <w:color w:val="000000"/>
          <w:kern w:val="0"/>
          <w:szCs w:val="21"/>
          <w:lang w:bidi="en-US"/>
        </w:rPr>
        <w:tab/>
      </w:r>
      <w:r>
        <w:rPr>
          <w:color w:val="000000"/>
          <w:kern w:val="0"/>
          <w:szCs w:val="21"/>
          <w:lang w:bidi="en-US"/>
        </w:rPr>
        <w:t>HBCDD的</w:t>
      </w:r>
      <w:r>
        <w:rPr>
          <w:rFonts w:hint="eastAsia"/>
          <w:color w:val="000000"/>
          <w:kern w:val="0"/>
          <w:szCs w:val="21"/>
          <w:lang w:eastAsia="zh-CN" w:bidi="en-US"/>
        </w:rPr>
        <w:t>定量限</w:t>
      </w:r>
      <w:r>
        <w:rPr>
          <w:color w:val="000000"/>
          <w:kern w:val="0"/>
          <w:szCs w:val="21"/>
          <w:lang w:bidi="en-US"/>
        </w:rPr>
        <w:t>应至少是MDL的三倍</w:t>
      </w:r>
      <w:r>
        <w:rPr>
          <w:rFonts w:hint="eastAsia"/>
          <w:color w:val="000000"/>
          <w:kern w:val="0"/>
          <w:szCs w:val="21"/>
          <w:lang w:val="en-US" w:eastAsia="zh-CN" w:bidi="en-US"/>
        </w:rPr>
        <w:t>,值为</w:t>
      </w:r>
      <w:r>
        <w:rPr>
          <w:color w:val="000000"/>
          <w:kern w:val="0"/>
          <w:szCs w:val="21"/>
          <w:lang w:bidi="en-US"/>
        </w:rPr>
        <w:t>60 mg/kg。MDL只与检测相关，</w:t>
      </w:r>
      <w:r>
        <w:rPr>
          <w:rFonts w:hint="eastAsia"/>
          <w:color w:val="000000"/>
          <w:kern w:val="0"/>
          <w:szCs w:val="21"/>
          <w:lang w:eastAsia="zh-CN" w:bidi="en-US"/>
        </w:rPr>
        <w:t>定量限</w:t>
      </w:r>
      <w:r>
        <w:rPr>
          <w:color w:val="000000"/>
          <w:kern w:val="0"/>
          <w:szCs w:val="21"/>
          <w:lang w:bidi="en-US"/>
        </w:rPr>
        <w:t>与其不同，指的是给定化合物可以准确量化的浓度。</w:t>
      </w:r>
    </w:p>
    <w:p>
      <w:pPr>
        <w:ind w:firstLine="360" w:firstLineChars="200"/>
        <w:rPr>
          <w:kern w:val="0"/>
          <w:sz w:val="18"/>
          <w:szCs w:val="18"/>
        </w:rPr>
      </w:pPr>
      <w:r>
        <w:rPr>
          <w:rFonts w:hint="eastAsia" w:ascii="黑体" w:hAnsi="黑体" w:eastAsia="黑体" w:cs="黑体"/>
          <w:kern w:val="0"/>
          <w:sz w:val="18"/>
          <w:szCs w:val="18"/>
        </w:rPr>
        <w:t>注2：</w:t>
      </w:r>
      <w:r>
        <w:rPr>
          <w:kern w:val="0"/>
          <w:sz w:val="18"/>
          <w:szCs w:val="18"/>
        </w:rPr>
        <w:t>如果不能满足MDL要求，可以在提取程序中增加浓缩步骤。由于浓缩步骤也会增加提取物中的聚合物浓度，因此对每份样品还需执行净化步骤。这样可以延长管柱寿命，降低仪器维护频率。如果分析时使用了浓缩和净化步骤，对MDL样品也同样采用这些步骤。</w:t>
      </w:r>
    </w:p>
    <w:p>
      <w:pPr>
        <w:pStyle w:val="47"/>
      </w:pPr>
      <w:r>
        <w:t>A.9 检测报告</w:t>
      </w:r>
    </w:p>
    <w:p>
      <w:pPr>
        <w:ind w:firstLine="420" w:firstLineChars="200"/>
        <w:rPr>
          <w:kern w:val="0"/>
          <w:szCs w:val="21"/>
        </w:rPr>
      </w:pPr>
      <w:r>
        <w:rPr>
          <w:kern w:val="0"/>
          <w:szCs w:val="21"/>
        </w:rPr>
        <w:t>本文件适</w:t>
      </w:r>
      <w:r>
        <w:rPr>
          <w:kern w:val="0"/>
          <w:szCs w:val="21"/>
          <w:highlight w:val="none"/>
        </w:rPr>
        <w:t>用</w:t>
      </w:r>
      <w:r>
        <w:rPr>
          <w:rFonts w:hint="eastAsia"/>
          <w:kern w:val="0"/>
          <w:szCs w:val="21"/>
          <w:highlight w:val="none"/>
          <w:lang w:val="en-US" w:eastAsia="zh-CN"/>
        </w:rPr>
        <w:t>GB/T 39560.1-2020 4.8</w:t>
      </w:r>
      <w:r>
        <w:rPr>
          <w:kern w:val="0"/>
          <w:szCs w:val="21"/>
          <w:highlight w:val="none"/>
        </w:rPr>
        <w:t>（检</w:t>
      </w:r>
      <w:r>
        <w:rPr>
          <w:kern w:val="0"/>
          <w:szCs w:val="21"/>
        </w:rPr>
        <w:t>测报告）。</w:t>
      </w:r>
      <w:r>
        <w:rPr>
          <w:rFonts w:eastAsia="MingLiU_HKSCS"/>
          <w:kern w:val="0"/>
          <w:sz w:val="20"/>
          <w:szCs w:val="20"/>
        </w:rPr>
        <w:br w:type="page"/>
      </w:r>
    </w:p>
    <w:p>
      <w:pPr>
        <w:keepNext/>
        <w:widowControl/>
        <w:shd w:val="clear" w:color="FFFFFF" w:fill="FFFFFF"/>
        <w:tabs>
          <w:tab w:val="left" w:pos="6405"/>
        </w:tabs>
        <w:spacing w:before="640" w:after="280"/>
        <w:jc w:val="center"/>
        <w:outlineLvl w:val="0"/>
        <w:rPr>
          <w:rFonts w:eastAsia="黑体"/>
          <w:kern w:val="0"/>
          <w:szCs w:val="20"/>
        </w:rPr>
      </w:pPr>
      <w:r>
        <w:rPr>
          <w:color w:val="000000"/>
          <w:kern w:val="0"/>
          <w:szCs w:val="21"/>
        </w:rPr>
        <mc:AlternateContent>
          <mc:Choice Requires="wps">
            <w:drawing>
              <wp:anchor distT="0" distB="0" distL="114300" distR="114300" simplePos="0" relativeHeight="251667456" behindDoc="0" locked="0" layoutInCell="1" allowOverlap="1">
                <wp:simplePos x="0" y="0"/>
                <wp:positionH relativeFrom="column">
                  <wp:posOffset>294005</wp:posOffset>
                </wp:positionH>
                <wp:positionV relativeFrom="paragraph">
                  <wp:posOffset>766445</wp:posOffset>
                </wp:positionV>
                <wp:extent cx="168910" cy="744855"/>
                <wp:effectExtent l="0" t="0" r="2540" b="0"/>
                <wp:wrapNone/>
                <wp:docPr id="1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8910" cy="744855"/>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wps:txbx>
                      <wps:bodyPr rot="0" vert="vert270" wrap="square" lIns="0" tIns="0" rIns="0" bIns="0" anchor="t" anchorCtr="0">
                        <a:noAutofit/>
                      </wps:bodyPr>
                    </wps:wsp>
                  </a:graphicData>
                </a:graphic>
              </wp:anchor>
            </w:drawing>
          </mc:Choice>
          <mc:Fallback>
            <w:pict>
              <v:shape id="文本框 2" o:spid="_x0000_s1026" o:spt="202" type="#_x0000_t202" style="position:absolute;left:0pt;margin-left:23.15pt;margin-top:60.35pt;height:58.65pt;width:13.3pt;z-index:251667456;mso-width-relative:page;mso-height-relative:page;" fillcolor="#FFFFFF" filled="t" stroked="f" coordsize="21600,21600" o:gfxdata="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ggWD81wAAAAkBAAAPAAAAAAAAAAEAIAAAACIAAABkcnMvZG93bnJldi54bWxQSwEC&#10;FAAUAAAACACHTuJAxCf6XS4CAABFBAAADgAAAAAAAAABACAAAAAmAQAAZHJzL2Uyb0RvYy54bWxQ&#10;SwUGAAAAAAYABgBZAQAAxgUAAAAA&#10;">
                <v:fill on="t" focussize="0,0"/>
                <v:stroke on="f" miterlimit="8" joinstyle="miter"/>
                <v:imagedata o:title=""/>
                <o:lock v:ext="edit" aspectratio="f"/>
                <v:textbox inset="0mm,0mm,0mm,0mm" style="layout-flow:vertical;mso-layout-flow-alt:bottom-to-top;">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v:textbox>
              </v:shape>
            </w:pict>
          </mc:Fallback>
        </mc:AlternateContent>
      </w:r>
      <w:r>
        <w:rPr>
          <w:color w:val="000000"/>
          <w:kern w:val="0"/>
          <w:szCs w:val="21"/>
        </w:rPr>
        <mc:AlternateContent>
          <mc:Choice Requires="wps">
            <w:drawing>
              <wp:anchor distT="0" distB="0" distL="114300" distR="114300" simplePos="0" relativeHeight="251666432" behindDoc="0" locked="0" layoutInCell="1" allowOverlap="1">
                <wp:simplePos x="0" y="0"/>
                <wp:positionH relativeFrom="column">
                  <wp:posOffset>2597150</wp:posOffset>
                </wp:positionH>
                <wp:positionV relativeFrom="paragraph">
                  <wp:posOffset>2710815</wp:posOffset>
                </wp:positionV>
                <wp:extent cx="803275" cy="142240"/>
                <wp:effectExtent l="0" t="0" r="0" b="0"/>
                <wp:wrapNone/>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03275" cy="142240"/>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分钟（</w:t>
                            </w:r>
                            <w:r>
                              <w:rPr>
                                <w:rFonts w:ascii="Arial" w:hAnsi="Arial" w:cs="Arial"/>
                                <w:bCs/>
                                <w:sz w:val="13"/>
                                <w:szCs w:val="13"/>
                              </w:rPr>
                              <w:t>min）</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204.5pt;margin-top:213.45pt;height:11.2pt;width:63.25pt;z-index:251666432;mso-width-relative:page;mso-height-relative:page;" fillcolor="#FFFFFF" filled="t" stroked="f" coordsize="21600,21600" o:gfxdata="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FvCPX2wAAAAsBAAAPAAAAAAAAAAEAIAAAACIAAABkcnMvZG93bnJldi54bWxQ&#10;SwECFAAUAAAACACHTuJARfqYWC0CAABCBAAADgAAAAAAAAABACAAAAAqAQAAZHJzL2Uyb0RvYy54&#10;bWxQSwUGAAAAAAYABgBZAQAAyQU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hint="eastAsia" w:ascii="Arial" w:hAnsi="Arial" w:cs="Arial"/>
                          <w:bCs/>
                          <w:sz w:val="13"/>
                          <w:szCs w:val="13"/>
                        </w:rPr>
                        <w:t>分钟（</w:t>
                      </w:r>
                      <w:r>
                        <w:rPr>
                          <w:rFonts w:ascii="Arial" w:hAnsi="Arial" w:cs="Arial"/>
                          <w:bCs/>
                          <w:sz w:val="13"/>
                          <w:szCs w:val="13"/>
                        </w:rPr>
                        <w:t>min）</w:t>
                      </w:r>
                    </w:p>
                  </w:txbxContent>
                </v:textbox>
              </v:shape>
            </w:pict>
          </mc:Fallback>
        </mc:AlternateContent>
      </w:r>
      <w:r>
        <w:rPr>
          <w:rFonts w:eastAsia="黑体"/>
          <w:kern w:val="0"/>
          <w:szCs w:val="20"/>
        </w:rPr>
        <w:t>附录B</w:t>
      </w:r>
      <w:r>
        <w:rPr>
          <w:rFonts w:eastAsia="黑体"/>
          <w:kern w:val="0"/>
          <w:szCs w:val="20"/>
        </w:rPr>
        <w:br w:type="textWrapping"/>
      </w:r>
      <w:r>
        <w:rPr>
          <w:rFonts w:eastAsia="黑体"/>
          <w:kern w:val="0"/>
          <w:szCs w:val="20"/>
        </w:rPr>
        <w:t>（资料性）</w:t>
      </w:r>
      <w:r>
        <w:rPr>
          <w:rFonts w:eastAsia="黑体"/>
          <w:kern w:val="0"/>
          <w:szCs w:val="20"/>
        </w:rPr>
        <w:br w:type="textWrapping"/>
      </w:r>
      <w:r>
        <w:rPr>
          <w:rFonts w:eastAsia="黑体"/>
          <w:kern w:val="0"/>
          <w:szCs w:val="20"/>
        </w:rPr>
        <w:t>建议条件下的色谱图示例</w:t>
      </w:r>
    </w:p>
    <w:p>
      <w:pPr>
        <w:jc w:val="center"/>
        <w:rPr>
          <w:color w:val="000000"/>
          <w:kern w:val="0"/>
          <w:szCs w:val="21"/>
          <w:lang w:bidi="en-US"/>
        </w:rPr>
      </w:pPr>
      <w:r>
        <w:rPr>
          <w:color w:val="000000"/>
          <w:kern w:val="0"/>
          <w:szCs w:val="21"/>
        </w:rPr>
        <mc:AlternateContent>
          <mc:Choice Requires="wps">
            <w:drawing>
              <wp:anchor distT="0" distB="0" distL="114300" distR="114300" simplePos="0" relativeHeight="251665408" behindDoc="0" locked="0" layoutInCell="1" allowOverlap="1">
                <wp:simplePos x="0" y="0"/>
                <wp:positionH relativeFrom="column">
                  <wp:posOffset>5082540</wp:posOffset>
                </wp:positionH>
                <wp:positionV relativeFrom="paragraph">
                  <wp:posOffset>1570355</wp:posOffset>
                </wp:positionV>
                <wp:extent cx="803275" cy="142240"/>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03275" cy="142240"/>
                        </a:xfrm>
                        <a:prstGeom prst="rect">
                          <a:avLst/>
                        </a:prstGeom>
                        <a:solidFill>
                          <a:srgbClr val="FFFFFF"/>
                        </a:solidFill>
                        <a:ln w="9525">
                          <a:noFill/>
                          <a:miter lim="800000"/>
                        </a:ln>
                      </wps:spPr>
                      <wps:txbx>
                        <w:txbxContent>
                          <w:p>
                            <w:pPr>
                              <w:adjustRightInd w:val="0"/>
                              <w:snapToGrid w:val="0"/>
                              <w:rPr>
                                <w:rFonts w:ascii="Arial" w:hAnsi="Arial" w:cs="Arial"/>
                                <w:sz w:val="16"/>
                                <w:szCs w:val="16"/>
                              </w:rPr>
                            </w:pPr>
                            <w:r>
                              <w:rPr>
                                <w:rFonts w:ascii="Arial" w:hAnsi="Arial" w:cs="Arial"/>
                                <w:bCs/>
                                <w:sz w:val="13"/>
                                <w:szCs w:val="13"/>
                              </w:rPr>
                              <w:t>时间（min）</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400.2pt;margin-top:123.65pt;height:11.2pt;width:63.25pt;z-index:251665408;mso-width-relative:page;mso-height-relative:page;" fillcolor="#FFFFFF" filled="t" stroked="f" coordsize="21600,21600" o:gfxdata="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VJfldoAAAALAQAADwAAAAAAAAABACAAAAAiAAAAZHJzL2Rvd25yZXYueG1s&#10;UEsBAhQAFAAAAAgAh07iQLsKmfIvAgAAQwQAAA4AAAAAAAAAAQAgAAAAKQEAAGRycy9lMm9Eb2Mu&#10;eG1sUEsFBgAAAAAGAAYAWQEAAMoFAAAAAA==&#10;">
                <v:fill on="t" focussize="0,0"/>
                <v:stroke on="f" miterlimit="8" joinstyle="miter"/>
                <v:imagedata o:title=""/>
                <o:lock v:ext="edit" aspectratio="f"/>
                <v:textbox inset="0mm,0mm,0mm,0mm">
                  <w:txbxContent>
                    <w:p>
                      <w:pPr>
                        <w:adjustRightInd w:val="0"/>
                        <w:snapToGrid w:val="0"/>
                        <w:rPr>
                          <w:rFonts w:ascii="Arial" w:hAnsi="Arial" w:cs="Arial"/>
                          <w:sz w:val="16"/>
                          <w:szCs w:val="16"/>
                        </w:rPr>
                      </w:pPr>
                      <w:r>
                        <w:rPr>
                          <w:rFonts w:ascii="Arial" w:hAnsi="Arial" w:cs="Arial"/>
                          <w:bCs/>
                          <w:sz w:val="13"/>
                          <w:szCs w:val="13"/>
                        </w:rPr>
                        <w:t>时间（min）</w:t>
                      </w:r>
                    </w:p>
                  </w:txbxContent>
                </v:textbox>
              </v:shape>
            </w:pict>
          </mc:Fallback>
        </mc:AlternateContent>
      </w:r>
      <w:r>
        <w:rPr>
          <w:color w:val="000000"/>
          <w:kern w:val="0"/>
          <w:szCs w:val="21"/>
        </w:rPr>
        <w:drawing>
          <wp:inline distT="0" distB="0" distL="0" distR="0">
            <wp:extent cx="5400040" cy="2122170"/>
            <wp:effectExtent l="0" t="0" r="0" b="0"/>
            <wp:docPr id="16" name="图片 16" descr="C:\Users\sl\AppData\Local\Temp\FineReader12.00\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sl\AppData\Local\Temp\FineReader12.00\media\image8.jpe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5400040" cy="2122170"/>
                    </a:xfrm>
                    <a:prstGeom prst="rect">
                      <a:avLst/>
                    </a:prstGeom>
                    <a:noFill/>
                    <a:ln>
                      <a:noFill/>
                    </a:ln>
                  </pic:spPr>
                </pic:pic>
              </a:graphicData>
            </a:graphic>
          </wp:inline>
        </w:drawing>
      </w:r>
    </w:p>
    <w:p>
      <w:pPr>
        <w:spacing w:before="156" w:beforeLines="50" w:after="156" w:afterLines="50"/>
        <w:jc w:val="center"/>
        <w:outlineLvl w:val="3"/>
        <w:rPr>
          <w:b/>
          <w:bCs/>
          <w:color w:val="000000"/>
          <w:kern w:val="0"/>
          <w:szCs w:val="21"/>
          <w:shd w:val="clear" w:color="auto" w:fill="FFFFFF"/>
          <w:lang w:val="fr-FR"/>
        </w:rPr>
      </w:pPr>
      <w:r>
        <w:rPr>
          <w:b/>
          <w:bCs/>
          <w:color w:val="000000"/>
          <w:kern w:val="0"/>
          <w:szCs w:val="21"/>
          <w:shd w:val="clear" w:color="auto" w:fill="FFFFFF"/>
          <w:lang w:val="fr-FR"/>
        </w:rPr>
        <w:t>图B.1-GC-MS分析得出的HBCDD总离子色谱图</w:t>
      </w:r>
    </w:p>
    <w:p>
      <w:pPr>
        <w:jc w:val="center"/>
        <w:rPr>
          <w:color w:val="000000"/>
          <w:kern w:val="0"/>
          <w:szCs w:val="21"/>
          <w:lang w:bidi="en-US"/>
        </w:rPr>
      </w:pPr>
      <w:r>
        <w:rPr>
          <w:color w:val="000000"/>
          <w:kern w:val="0"/>
          <w:szCs w:val="21"/>
        </w:rPr>
        <w:drawing>
          <wp:inline distT="0" distB="0" distL="0" distR="0">
            <wp:extent cx="5831205" cy="2993390"/>
            <wp:effectExtent l="0" t="0" r="0" b="0"/>
            <wp:docPr id="17" name="图片 17" descr="C:\Users\sl\AppData\Local\Temp\FineRead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sl\AppData\Local\Temp\FineReader12.00\media\image9.jpe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5831205" cy="2993390"/>
                    </a:xfrm>
                    <a:prstGeom prst="rect">
                      <a:avLst/>
                    </a:prstGeom>
                    <a:noFill/>
                    <a:ln>
                      <a:noFill/>
                    </a:ln>
                  </pic:spPr>
                </pic:pic>
              </a:graphicData>
            </a:graphic>
          </wp:inline>
        </w:drawing>
      </w:r>
    </w:p>
    <w:p>
      <w:pPr>
        <w:spacing w:before="156" w:beforeLines="50" w:after="156" w:afterLines="50"/>
        <w:jc w:val="center"/>
        <w:outlineLvl w:val="3"/>
        <w:rPr>
          <w:b/>
          <w:bCs/>
          <w:color w:val="000000"/>
          <w:kern w:val="0"/>
          <w:szCs w:val="21"/>
          <w:shd w:val="clear" w:color="auto" w:fill="FFFFFF"/>
          <w:lang w:val="fr-FR"/>
        </w:rPr>
      </w:pPr>
      <w:r>
        <w:rPr>
          <w:b/>
          <w:bCs/>
          <w:color w:val="000000"/>
          <w:kern w:val="0"/>
          <w:szCs w:val="21"/>
          <w:shd w:val="clear" w:color="auto" w:fill="FFFFFF"/>
          <w:lang w:val="fr-FR"/>
        </w:rPr>
        <w:t>图B.2-GC-MS分析得出的HBCDD质谱</w:t>
      </w:r>
    </w:p>
    <w:p>
      <w:pPr>
        <w:rPr>
          <w:color w:val="000000"/>
          <w:kern w:val="0"/>
          <w:szCs w:val="21"/>
          <w:lang w:bidi="en-US"/>
        </w:rPr>
      </w:pPr>
      <w:r>
        <w:rPr>
          <w:rFonts w:eastAsia="Microsoft JhengHei Light"/>
          <w:color w:val="000000"/>
          <w:kern w:val="0"/>
          <w:sz w:val="24"/>
          <w:lang w:bidi="en-US"/>
        </w:rPr>
        <w:br w:type="page"/>
      </w:r>
    </w:p>
    <w:p>
      <w:pPr>
        <w:jc w:val="center"/>
        <w:rPr>
          <w:color w:val="000000"/>
          <w:kern w:val="0"/>
          <w:szCs w:val="21"/>
          <w:lang w:bidi="en-US"/>
        </w:rPr>
      </w:pPr>
      <w:r>
        <w:rPr>
          <w:color w:val="000000"/>
          <w:kern w:val="0"/>
          <w:szCs w:val="21"/>
        </w:rPr>
        <mc:AlternateContent>
          <mc:Choice Requires="wps">
            <w:drawing>
              <wp:anchor distT="0" distB="0" distL="114300" distR="114300" simplePos="0" relativeHeight="251669504" behindDoc="0" locked="0" layoutInCell="1" allowOverlap="1">
                <wp:simplePos x="0" y="0"/>
                <wp:positionH relativeFrom="column">
                  <wp:posOffset>361315</wp:posOffset>
                </wp:positionH>
                <wp:positionV relativeFrom="paragraph">
                  <wp:posOffset>30480</wp:posOffset>
                </wp:positionV>
                <wp:extent cx="168910" cy="744855"/>
                <wp:effectExtent l="0" t="0" r="2540" b="0"/>
                <wp:wrapNone/>
                <wp:docPr id="1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8910" cy="744855"/>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wps:txbx>
                      <wps:bodyPr rot="0" vert="vert270" wrap="square" lIns="0" tIns="0" rIns="0" bIns="0" anchor="t" anchorCtr="0">
                        <a:noAutofit/>
                      </wps:bodyPr>
                    </wps:wsp>
                  </a:graphicData>
                </a:graphic>
              </wp:anchor>
            </w:drawing>
          </mc:Choice>
          <mc:Fallback>
            <w:pict>
              <v:shape id="文本框 2" o:spid="_x0000_s1026" o:spt="202" type="#_x0000_t202" style="position:absolute;left:0pt;margin-left:28.45pt;margin-top:2.4pt;height:58.65pt;width:13.3pt;z-index:251669504;mso-width-relative:page;mso-height-relative:page;" fillcolor="#FFFFFF" filled="t" stroked="f" coordsize="21600,21600" o:gfxdata="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HDFgw1AAAAAcBAAAPAAAAAAAAAAEAIAAAACIAAABkcnMvZG93bnJldi54bWxQSwECFAAU&#10;AAAACACHTuJAhibyxi4CAABFBAAADgAAAAAAAAABACAAAAAjAQAAZHJzL2Uyb0RvYy54bWxQSwUG&#10;AAAAAAYABgBZAQAAwwUAAAAA&#10;">
                <v:fill on="t" focussize="0,0"/>
                <v:stroke on="f" miterlimit="8" joinstyle="miter"/>
                <v:imagedata o:title=""/>
                <o:lock v:ext="edit" aspectratio="f"/>
                <v:textbox inset="0mm,0mm,0mm,0mm" style="layout-flow:vertical;mso-layout-flow-alt:bottom-to-top;">
                  <w:txbxContent>
                    <w:p>
                      <w:pPr>
                        <w:adjustRightInd w:val="0"/>
                        <w:snapToGrid w:val="0"/>
                        <w:jc w:val="center"/>
                        <w:rPr>
                          <w:rFonts w:ascii="Arial" w:hAnsi="Arial" w:cs="Arial"/>
                          <w:sz w:val="16"/>
                          <w:szCs w:val="16"/>
                        </w:rPr>
                      </w:pPr>
                      <w:r>
                        <w:rPr>
                          <w:rFonts w:hint="eastAsia" w:ascii="Arial" w:hAnsi="Arial" w:cs="Arial"/>
                          <w:bCs/>
                          <w:sz w:val="13"/>
                          <w:szCs w:val="13"/>
                        </w:rPr>
                        <w:t>丰度</w:t>
                      </w:r>
                    </w:p>
                  </w:txbxContent>
                </v:textbox>
              </v:shape>
            </w:pict>
          </mc:Fallback>
        </mc:AlternateContent>
      </w:r>
      <w:r>
        <w:rPr>
          <w:color w:val="000000"/>
          <w:kern w:val="0"/>
          <w:szCs w:val="21"/>
        </w:rPr>
        <mc:AlternateContent>
          <mc:Choice Requires="wps">
            <w:drawing>
              <wp:anchor distT="0" distB="0" distL="114300" distR="114300" simplePos="0" relativeHeight="251668480" behindDoc="0" locked="0" layoutInCell="1" allowOverlap="1">
                <wp:simplePos x="0" y="0"/>
                <wp:positionH relativeFrom="column">
                  <wp:posOffset>5113020</wp:posOffset>
                </wp:positionH>
                <wp:positionV relativeFrom="paragraph">
                  <wp:posOffset>2804795</wp:posOffset>
                </wp:positionV>
                <wp:extent cx="803275" cy="14224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03275" cy="142240"/>
                        </a:xfrm>
                        <a:prstGeom prst="rect">
                          <a:avLst/>
                        </a:prstGeom>
                        <a:solidFill>
                          <a:srgbClr val="FFFFFF"/>
                        </a:solidFill>
                        <a:ln w="9525">
                          <a:noFill/>
                          <a:miter lim="800000"/>
                        </a:ln>
                      </wps:spPr>
                      <wps:txbx>
                        <w:txbxContent>
                          <w:p>
                            <w:pPr>
                              <w:adjustRightInd w:val="0"/>
                              <w:snapToGrid w:val="0"/>
                              <w:jc w:val="center"/>
                              <w:rPr>
                                <w:rFonts w:ascii="Arial" w:hAnsi="Arial" w:cs="Arial"/>
                                <w:sz w:val="16"/>
                                <w:szCs w:val="16"/>
                              </w:rPr>
                            </w:pPr>
                            <w:r>
                              <w:rPr>
                                <w:rFonts w:ascii="Arial" w:hAnsi="Arial" w:cs="Arial"/>
                                <w:bCs/>
                                <w:sz w:val="13"/>
                                <w:szCs w:val="13"/>
                              </w:rPr>
                              <w:t>时间（min）</w:t>
                            </w:r>
                          </w:p>
                        </w:txbxContent>
                      </wps:txbx>
                      <wps:bodyPr rot="0" vert="horz" wrap="square" lIns="0" tIns="0" rIns="0" bIns="0" anchor="t" anchorCtr="0">
                        <a:noAutofit/>
                      </wps:bodyPr>
                    </wps:wsp>
                  </a:graphicData>
                </a:graphic>
              </wp:anchor>
            </w:drawing>
          </mc:Choice>
          <mc:Fallback>
            <w:pict>
              <v:shape id="文本框 2" o:spid="_x0000_s1026" o:spt="202" type="#_x0000_t202" style="position:absolute;left:0pt;margin-left:402.6pt;margin-top:220.85pt;height:11.2pt;width:63.25pt;z-index:251668480;mso-width-relative:page;mso-height-relative:page;" fillcolor="#FFFFFF" filled="t" stroked="f" coordsize="21600,21600" o:gfxdata="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kHkZtkAAAALAQAADwAAAAAAAAABACAAAAAiAAAAZHJzL2Rvd25yZXYueG1sUEsB&#10;AhQAFAAAAAgAh07iQC1clRMtAgAAQgQAAA4AAAAAAAAAAQAgAAAAKAEAAGRycy9lMm9Eb2MueG1s&#10;UEsFBgAAAAAGAAYAWQEAAMcFAAAAAA==&#10;">
                <v:fill on="t" focussize="0,0"/>
                <v:stroke on="f" miterlimit="8" joinstyle="miter"/>
                <v:imagedata o:title=""/>
                <o:lock v:ext="edit" aspectratio="f"/>
                <v:textbox inset="0mm,0mm,0mm,0mm">
                  <w:txbxContent>
                    <w:p>
                      <w:pPr>
                        <w:adjustRightInd w:val="0"/>
                        <w:snapToGrid w:val="0"/>
                        <w:jc w:val="center"/>
                        <w:rPr>
                          <w:rFonts w:ascii="Arial" w:hAnsi="Arial" w:cs="Arial"/>
                          <w:sz w:val="16"/>
                          <w:szCs w:val="16"/>
                        </w:rPr>
                      </w:pPr>
                      <w:r>
                        <w:rPr>
                          <w:rFonts w:ascii="Arial" w:hAnsi="Arial" w:cs="Arial"/>
                          <w:bCs/>
                          <w:sz w:val="13"/>
                          <w:szCs w:val="13"/>
                        </w:rPr>
                        <w:t>时间（min）</w:t>
                      </w:r>
                    </w:p>
                  </w:txbxContent>
                </v:textbox>
              </v:shape>
            </w:pict>
          </mc:Fallback>
        </mc:AlternateContent>
      </w:r>
      <w:r>
        <w:rPr>
          <w:color w:val="000000"/>
          <w:kern w:val="0"/>
          <w:szCs w:val="21"/>
        </w:rPr>
        <w:drawing>
          <wp:inline distT="0" distB="0" distL="0" distR="0">
            <wp:extent cx="5382895" cy="3070860"/>
            <wp:effectExtent l="0" t="0" r="8255" b="0"/>
            <wp:docPr id="18" name="图片 18" descr="C:\Users\sl\AppData\Local\Temp\FineReader12.0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sl\AppData\Local\Temp\FineReader12.00\media\image10.jpe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a:xfrm>
                      <a:off x="0" y="0"/>
                      <a:ext cx="5382895" cy="3070860"/>
                    </a:xfrm>
                    <a:prstGeom prst="rect">
                      <a:avLst/>
                    </a:prstGeom>
                    <a:noFill/>
                    <a:ln>
                      <a:noFill/>
                    </a:ln>
                  </pic:spPr>
                </pic:pic>
              </a:graphicData>
            </a:graphic>
          </wp:inline>
        </w:drawing>
      </w:r>
    </w:p>
    <w:p>
      <w:pPr>
        <w:ind w:firstLine="420" w:firstLineChars="200"/>
        <w:rPr>
          <w:kern w:val="0"/>
          <w:szCs w:val="21"/>
        </w:rPr>
      </w:pPr>
      <w:r>
        <w:rPr>
          <w:kern w:val="0"/>
          <w:szCs w:val="21"/>
        </w:rPr>
        <w:t>符号说明</w:t>
      </w:r>
    </w:p>
    <w:p>
      <w:pPr>
        <w:ind w:firstLine="420" w:firstLineChars="200"/>
        <w:rPr>
          <w:kern w:val="0"/>
          <w:szCs w:val="21"/>
        </w:rPr>
      </w:pPr>
      <w:r>
        <w:rPr>
          <w:kern w:val="0"/>
          <w:szCs w:val="21"/>
        </w:rPr>
        <w:t>（a）:α-HBCDD</w:t>
      </w:r>
    </w:p>
    <w:p>
      <w:pPr>
        <w:ind w:firstLine="420" w:firstLineChars="200"/>
        <w:rPr>
          <w:kern w:val="0"/>
          <w:szCs w:val="21"/>
        </w:rPr>
      </w:pPr>
      <w:r>
        <w:rPr>
          <w:kern w:val="0"/>
          <w:szCs w:val="21"/>
        </w:rPr>
        <w:t>（b）: β-HBCDD</w:t>
      </w:r>
    </w:p>
    <w:p>
      <w:pPr>
        <w:ind w:firstLine="420" w:firstLineChars="200"/>
        <w:rPr>
          <w:kern w:val="0"/>
          <w:szCs w:val="21"/>
        </w:rPr>
      </w:pPr>
      <w:r>
        <w:rPr>
          <w:kern w:val="0"/>
          <w:szCs w:val="21"/>
        </w:rPr>
        <w:t>（c）:γ</w:t>
      </w:r>
      <w:r>
        <w:rPr>
          <w:smallCaps/>
          <w:kern w:val="0"/>
          <w:szCs w:val="21"/>
        </w:rPr>
        <w:t>-HBCDD</w:t>
      </w:r>
    </w:p>
    <w:p>
      <w:pPr>
        <w:spacing w:before="156" w:beforeLines="50" w:after="156" w:afterLines="50"/>
        <w:jc w:val="center"/>
        <w:outlineLvl w:val="3"/>
        <w:rPr>
          <w:b/>
          <w:bCs/>
          <w:color w:val="000000"/>
          <w:kern w:val="0"/>
          <w:szCs w:val="21"/>
          <w:shd w:val="clear" w:color="auto" w:fill="FFFFFF"/>
          <w:lang w:val="fr-FR"/>
        </w:rPr>
      </w:pPr>
      <w:r>
        <w:rPr>
          <w:b/>
          <w:bCs/>
          <w:color w:val="000000"/>
          <w:kern w:val="0"/>
          <w:szCs w:val="21"/>
          <w:shd w:val="clear" w:color="auto" w:fill="FFFFFF"/>
          <w:lang w:val="fr-FR"/>
        </w:rPr>
        <w:t>图B.3 - 通过HPLC-MS分析得出的HBCDD异构体（α-HBCDD、β-HBCDD和γ-HBCDD）总离子色谱图</w:t>
      </w:r>
    </w:p>
    <w:p>
      <w:pPr>
        <w:rPr>
          <w:color w:val="000000"/>
          <w:kern w:val="0"/>
          <w:szCs w:val="21"/>
          <w:lang w:bidi="en-US"/>
        </w:rPr>
      </w:pPr>
      <w:r>
        <w:rPr>
          <w:rFonts w:eastAsia="Microsoft JhengHei Light"/>
          <w:color w:val="000000"/>
          <w:kern w:val="0"/>
          <w:sz w:val="24"/>
          <w:lang w:bidi="en-US"/>
        </w:rPr>
        <w:br w:type="page"/>
      </w:r>
    </w:p>
    <w:p>
      <w:pPr>
        <w:keepNext/>
        <w:widowControl/>
        <w:shd w:val="clear" w:color="FFFFFF" w:fill="FFFFFF"/>
        <w:tabs>
          <w:tab w:val="left" w:pos="6405"/>
        </w:tabs>
        <w:spacing w:before="640" w:after="280"/>
        <w:jc w:val="center"/>
        <w:outlineLvl w:val="0"/>
        <w:rPr>
          <w:rFonts w:eastAsia="黑体"/>
          <w:kern w:val="0"/>
          <w:szCs w:val="20"/>
        </w:rPr>
      </w:pPr>
      <w:r>
        <w:rPr>
          <w:rFonts w:eastAsia="黑体"/>
          <w:kern w:val="0"/>
          <w:szCs w:val="20"/>
        </w:rPr>
        <w:t>附录C</w:t>
      </w:r>
      <w:r>
        <w:rPr>
          <w:rFonts w:eastAsia="黑体"/>
          <w:kern w:val="0"/>
          <w:szCs w:val="20"/>
        </w:rPr>
        <w:br w:type="textWrapping"/>
      </w:r>
      <w:r>
        <w:rPr>
          <w:rFonts w:eastAsia="黑体"/>
          <w:kern w:val="0"/>
          <w:szCs w:val="20"/>
        </w:rPr>
        <w:t>（资料性）</w:t>
      </w:r>
      <w:r>
        <w:rPr>
          <w:rFonts w:eastAsia="黑体"/>
          <w:kern w:val="0"/>
          <w:szCs w:val="20"/>
        </w:rPr>
        <w:br w:type="textWrapping"/>
      </w:r>
      <w:r>
        <w:rPr>
          <w:rFonts w:eastAsia="黑体"/>
          <w:kern w:val="0"/>
          <w:szCs w:val="20"/>
        </w:rPr>
        <w:t>国际实验室间研究（IIS 9）结果</w:t>
      </w:r>
    </w:p>
    <w:p>
      <w:pPr>
        <w:adjustRightInd w:val="0"/>
        <w:snapToGrid w:val="0"/>
        <w:spacing w:before="156" w:beforeLines="50" w:after="156" w:afterLines="50"/>
        <w:ind w:firstLine="420" w:firstLineChars="200"/>
        <w:rPr>
          <w:color w:val="000000"/>
          <w:kern w:val="0"/>
          <w:szCs w:val="21"/>
          <w:lang w:bidi="en-US"/>
        </w:rPr>
      </w:pPr>
      <w:r>
        <w:rPr>
          <w:color w:val="000000"/>
          <w:kern w:val="0"/>
          <w:szCs w:val="21"/>
          <w:lang w:bidi="en-US"/>
        </w:rPr>
        <w:t>见表C.1、表C.2、表C.3和表C.4。</w:t>
      </w:r>
    </w:p>
    <w:p>
      <w:pPr>
        <w:spacing w:before="156" w:beforeLines="50" w:after="156" w:afterLines="50"/>
        <w:jc w:val="center"/>
        <w:rPr>
          <w:b/>
          <w:bCs/>
          <w:szCs w:val="21"/>
        </w:rPr>
      </w:pPr>
      <w:bookmarkStart w:id="51" w:name="bookmark45"/>
      <w:r>
        <w:rPr>
          <w:b/>
          <w:bCs/>
          <w:szCs w:val="21"/>
        </w:rPr>
        <w:t>表C.1使用GC-MS测定HBCDD的平均结果和回收率</w:t>
      </w:r>
      <w:bookmarkEnd w:id="51"/>
    </w:p>
    <w:tbl>
      <w:tblPr>
        <w:tblStyle w:val="37"/>
        <w:tblW w:w="9468" w:type="dxa"/>
        <w:tblInd w:w="0" w:type="dxa"/>
        <w:tblLayout w:type="fixed"/>
        <w:tblCellMar>
          <w:top w:w="0" w:type="dxa"/>
          <w:left w:w="57" w:type="dxa"/>
          <w:bottom w:w="0" w:type="dxa"/>
          <w:right w:w="57" w:type="dxa"/>
        </w:tblCellMar>
      </w:tblPr>
      <w:tblGrid>
        <w:gridCol w:w="1635"/>
        <w:gridCol w:w="2675"/>
        <w:gridCol w:w="1904"/>
        <w:gridCol w:w="1619"/>
        <w:gridCol w:w="1635"/>
      </w:tblGrid>
      <w:tr>
        <w:tblPrEx>
          <w:tblCellMar>
            <w:top w:w="0" w:type="dxa"/>
            <w:left w:w="57" w:type="dxa"/>
            <w:bottom w:w="0" w:type="dxa"/>
            <w:right w:w="57" w:type="dxa"/>
          </w:tblCellMar>
        </w:tblPrEx>
        <w:tc>
          <w:tcPr>
            <w:tcW w:w="1635"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样品编号</w:t>
            </w:r>
          </w:p>
        </w:tc>
        <w:tc>
          <w:tcPr>
            <w:tcW w:w="2675"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样品描述</w:t>
            </w:r>
          </w:p>
        </w:tc>
        <w:tc>
          <w:tcPr>
            <w:tcW w:w="1904"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HBCDD平均结果</w:t>
            </w:r>
          </w:p>
        </w:tc>
        <w:tc>
          <w:tcPr>
            <w:tcW w:w="1619"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标准偏差</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预期值</w:t>
            </w:r>
          </w:p>
        </w:tc>
      </w:tr>
      <w:tr>
        <w:tblPrEx>
          <w:tblCellMar>
            <w:top w:w="0" w:type="dxa"/>
            <w:left w:w="57" w:type="dxa"/>
            <w:bottom w:w="0" w:type="dxa"/>
            <w:right w:w="57" w:type="dxa"/>
          </w:tblCellMar>
        </w:tblPrEx>
        <w:tc>
          <w:tcPr>
            <w:tcW w:w="1635" w:type="dxa"/>
            <w:tcBorders>
              <w:left w:val="single" w:color="auto" w:sz="4" w:space="0"/>
            </w:tcBorders>
            <w:shd w:val="clear" w:color="auto" w:fill="FFFFFF"/>
            <w:vAlign w:val="center"/>
          </w:tcPr>
          <w:p>
            <w:pPr>
              <w:jc w:val="center"/>
              <w:rPr>
                <w:rFonts w:eastAsia="Microsoft JhengHei Light"/>
                <w:color w:val="000000"/>
                <w:kern w:val="0"/>
                <w:szCs w:val="21"/>
                <w:lang w:bidi="en-US"/>
              </w:rPr>
            </w:pPr>
          </w:p>
        </w:tc>
        <w:tc>
          <w:tcPr>
            <w:tcW w:w="2675" w:type="dxa"/>
            <w:tcBorders>
              <w:left w:val="single" w:color="auto" w:sz="4" w:space="0"/>
            </w:tcBorders>
            <w:shd w:val="clear" w:color="auto" w:fill="FFFFFF"/>
            <w:vAlign w:val="center"/>
          </w:tcPr>
          <w:p>
            <w:pPr>
              <w:jc w:val="center"/>
              <w:rPr>
                <w:rFonts w:eastAsia="Microsoft JhengHei Light"/>
                <w:color w:val="000000"/>
                <w:kern w:val="0"/>
                <w:szCs w:val="21"/>
                <w:lang w:bidi="en-US"/>
              </w:rPr>
            </w:pPr>
          </w:p>
        </w:tc>
        <w:tc>
          <w:tcPr>
            <w:tcW w:w="1904" w:type="dxa"/>
            <w:tcBorders>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mg/kg</w:t>
            </w:r>
          </w:p>
        </w:tc>
        <w:tc>
          <w:tcPr>
            <w:tcW w:w="1619" w:type="dxa"/>
            <w:tcBorders>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mg/kg</w:t>
            </w:r>
          </w:p>
        </w:tc>
        <w:tc>
          <w:tcPr>
            <w:tcW w:w="1635" w:type="dxa"/>
            <w:tcBorders>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mg/kg</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IIS9-A01</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定制样品（EPS）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4 513</w:t>
            </w:r>
            <w:r>
              <w:rPr>
                <w:rFonts w:hint="eastAsia"/>
                <w:color w:val="000000"/>
                <w:kern w:val="0"/>
                <w:szCs w:val="21"/>
                <w:lang w:eastAsia="zh-CN" w:bidi="en-US"/>
              </w:rPr>
              <w:t>.</w:t>
            </w:r>
            <w:r>
              <w:rPr>
                <w:color w:val="000000"/>
                <w:kern w:val="0"/>
                <w:szCs w:val="21"/>
                <w:lang w:bidi="en-US"/>
              </w:rPr>
              <w:t>2</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1 537</w:t>
            </w:r>
            <w:r>
              <w:rPr>
                <w:rFonts w:hint="eastAsia"/>
                <w:color w:val="000000"/>
                <w:kern w:val="0"/>
                <w:szCs w:val="21"/>
                <w:lang w:eastAsia="zh-CN" w:bidi="en-US"/>
              </w:rPr>
              <w:t>.</w:t>
            </w:r>
            <w:r>
              <w:rPr>
                <w:color w:val="000000"/>
                <w:kern w:val="0"/>
                <w:szCs w:val="21"/>
                <w:lang w:bidi="en-US"/>
              </w:rPr>
              <w:t>08</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6 080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IIS9-B02</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定制样品（EPS）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10 623</w:t>
            </w:r>
            <w:r>
              <w:rPr>
                <w:rFonts w:hint="eastAsia"/>
                <w:color w:val="000000"/>
                <w:kern w:val="0"/>
                <w:szCs w:val="21"/>
                <w:lang w:eastAsia="zh-CN" w:bidi="en-US"/>
              </w:rPr>
              <w:t>.</w:t>
            </w:r>
            <w:r>
              <w:rPr>
                <w:color w:val="000000"/>
                <w:kern w:val="0"/>
                <w:szCs w:val="21"/>
                <w:lang w:bidi="en-US"/>
              </w:rPr>
              <w:t>7</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2 734</w:t>
            </w:r>
            <w:r>
              <w:rPr>
                <w:rFonts w:hint="eastAsia"/>
                <w:color w:val="000000"/>
                <w:kern w:val="0"/>
                <w:szCs w:val="21"/>
                <w:lang w:eastAsia="zh-CN" w:bidi="en-US"/>
              </w:rPr>
              <w:t>.</w:t>
            </w:r>
            <w:r>
              <w:rPr>
                <w:color w:val="000000"/>
                <w:kern w:val="0"/>
                <w:szCs w:val="21"/>
                <w:lang w:bidi="en-US"/>
              </w:rPr>
              <w:t>19</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11 940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IIS9-C03</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定制样品（XPS）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9 924</w:t>
            </w:r>
            <w:r>
              <w:rPr>
                <w:rFonts w:hint="eastAsia"/>
                <w:color w:val="000000"/>
                <w:kern w:val="0"/>
                <w:szCs w:val="21"/>
                <w:lang w:eastAsia="zh-CN" w:bidi="en-US"/>
              </w:rPr>
              <w:t>.</w:t>
            </w:r>
            <w:r>
              <w:rPr>
                <w:color w:val="000000"/>
                <w:kern w:val="0"/>
                <w:szCs w:val="21"/>
                <w:lang w:bidi="en-US"/>
              </w:rPr>
              <w:t>0</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1 786</w:t>
            </w:r>
            <w:r>
              <w:rPr>
                <w:rFonts w:hint="eastAsia"/>
                <w:color w:val="000000"/>
                <w:kern w:val="0"/>
                <w:szCs w:val="21"/>
                <w:lang w:eastAsia="zh-CN" w:bidi="en-US"/>
              </w:rPr>
              <w:t>.</w:t>
            </w:r>
            <w:r>
              <w:rPr>
                <w:color w:val="000000"/>
                <w:kern w:val="0"/>
                <w:szCs w:val="21"/>
                <w:lang w:bidi="en-US"/>
              </w:rPr>
              <w:t>82</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10 220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IIS9-D04</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定制样品（ABS）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811</w:t>
            </w:r>
            <w:r>
              <w:rPr>
                <w:rFonts w:hint="eastAsia"/>
                <w:color w:val="000000"/>
                <w:kern w:val="0"/>
                <w:szCs w:val="21"/>
                <w:lang w:eastAsia="zh-CN" w:bidi="en-US"/>
              </w:rPr>
              <w:t>.</w:t>
            </w:r>
            <w:r>
              <w:rPr>
                <w:color w:val="000000"/>
                <w:kern w:val="0"/>
                <w:szCs w:val="21"/>
                <w:lang w:bidi="en-US"/>
              </w:rPr>
              <w:t>8</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202</w:t>
            </w:r>
            <w:r>
              <w:rPr>
                <w:rFonts w:hint="eastAsia"/>
                <w:color w:val="000000"/>
                <w:kern w:val="0"/>
                <w:szCs w:val="21"/>
                <w:lang w:eastAsia="zh-CN" w:bidi="en-US"/>
              </w:rPr>
              <w:t>.</w:t>
            </w:r>
            <w:r>
              <w:rPr>
                <w:color w:val="000000"/>
                <w:kern w:val="0"/>
                <w:szCs w:val="21"/>
                <w:lang w:bidi="en-US"/>
              </w:rPr>
              <w:t>80</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1 000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IIS9-E05</w:t>
            </w:r>
          </w:p>
        </w:tc>
        <w:tc>
          <w:tcPr>
            <w:tcW w:w="2675"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定制样品（ABS）</w:t>
            </w:r>
          </w:p>
        </w:tc>
        <w:tc>
          <w:tcPr>
            <w:tcW w:w="1904"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7 991</w:t>
            </w:r>
            <w:r>
              <w:rPr>
                <w:rFonts w:hint="eastAsia"/>
                <w:color w:val="000000"/>
                <w:kern w:val="0"/>
                <w:szCs w:val="21"/>
                <w:lang w:eastAsia="zh-CN" w:bidi="en-US"/>
              </w:rPr>
              <w:t>.</w:t>
            </w:r>
            <w:r>
              <w:rPr>
                <w:color w:val="000000"/>
                <w:kern w:val="0"/>
                <w:szCs w:val="21"/>
                <w:lang w:bidi="en-US"/>
              </w:rPr>
              <w:t>1</w:t>
            </w:r>
          </w:p>
        </w:tc>
        <w:tc>
          <w:tcPr>
            <w:tcW w:w="1619"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1 560</w:t>
            </w:r>
            <w:r>
              <w:rPr>
                <w:rFonts w:hint="eastAsia"/>
                <w:color w:val="000000"/>
                <w:kern w:val="0"/>
                <w:szCs w:val="21"/>
                <w:lang w:eastAsia="zh-CN" w:bidi="en-US"/>
              </w:rPr>
              <w:t>.</w:t>
            </w:r>
            <w:r>
              <w:rPr>
                <w:color w:val="000000"/>
                <w:kern w:val="0"/>
                <w:szCs w:val="21"/>
                <w:lang w:bidi="en-US"/>
              </w:rPr>
              <w:t>58</w:t>
            </w:r>
          </w:p>
        </w:tc>
        <w:tc>
          <w:tcPr>
            <w:tcW w:w="16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10 000</w:t>
            </w:r>
          </w:p>
        </w:tc>
      </w:tr>
    </w:tbl>
    <w:p>
      <w:pPr>
        <w:spacing w:before="156" w:beforeLines="50" w:after="156" w:afterLines="50"/>
        <w:jc w:val="center"/>
        <w:rPr>
          <w:b/>
          <w:bCs/>
          <w:szCs w:val="21"/>
        </w:rPr>
      </w:pPr>
      <w:bookmarkStart w:id="52" w:name="bookmark46"/>
      <w:r>
        <w:rPr>
          <w:b/>
          <w:bCs/>
          <w:szCs w:val="21"/>
        </w:rPr>
        <w:t>表C.2</w:t>
      </w:r>
      <w:r>
        <w:rPr>
          <w:rFonts w:hint="eastAsia"/>
          <w:b/>
          <w:bCs/>
          <w:szCs w:val="21"/>
          <w:lang w:val="en-US" w:eastAsia="zh-CN"/>
        </w:rPr>
        <w:t xml:space="preserve"> </w:t>
      </w:r>
      <w:r>
        <w:rPr>
          <w:b/>
          <w:bCs/>
          <w:szCs w:val="21"/>
        </w:rPr>
        <w:t>GC-MS的统计数据</w:t>
      </w:r>
      <w:bookmarkEnd w:id="52"/>
    </w:p>
    <w:tbl>
      <w:tblPr>
        <w:tblStyle w:val="37"/>
        <w:tblW w:w="9468" w:type="dxa"/>
        <w:tblInd w:w="0" w:type="dxa"/>
        <w:tblLayout w:type="fixed"/>
        <w:tblCellMar>
          <w:top w:w="0" w:type="dxa"/>
          <w:left w:w="57" w:type="dxa"/>
          <w:bottom w:w="0" w:type="dxa"/>
          <w:right w:w="57" w:type="dxa"/>
        </w:tblCellMar>
      </w:tblPr>
      <w:tblGrid>
        <w:gridCol w:w="1189"/>
        <w:gridCol w:w="1185"/>
        <w:gridCol w:w="1180"/>
        <w:gridCol w:w="1180"/>
        <w:gridCol w:w="1180"/>
        <w:gridCol w:w="1180"/>
        <w:gridCol w:w="1185"/>
        <w:gridCol w:w="1189"/>
      </w:tblGrid>
      <w:tr>
        <w:tblPrEx>
          <w:tblCellMar>
            <w:top w:w="0" w:type="dxa"/>
            <w:left w:w="57" w:type="dxa"/>
            <w:bottom w:w="0" w:type="dxa"/>
            <w:right w:w="57" w:type="dxa"/>
          </w:tblCellMar>
        </w:tblPrEx>
        <w:tc>
          <w:tcPr>
            <w:tcW w:w="1189" w:type="dxa"/>
            <w:tcBorders>
              <w:top w:val="single" w:color="auto" w:sz="4" w:space="0"/>
              <w:left w:val="single" w:color="auto" w:sz="4" w:space="0"/>
            </w:tcBorders>
            <w:shd w:val="clear" w:color="auto" w:fill="FFFFFF"/>
          </w:tcPr>
          <w:p>
            <w:pPr>
              <w:jc w:val="center"/>
              <w:rPr>
                <w:color w:val="000000"/>
                <w:kern w:val="0"/>
                <w:szCs w:val="21"/>
                <w:lang w:bidi="en-US"/>
              </w:rPr>
            </w:pPr>
            <w:r>
              <w:rPr>
                <w:color w:val="000000"/>
                <w:kern w:val="0"/>
                <w:szCs w:val="21"/>
                <w:lang w:bidi="en-US"/>
              </w:rPr>
              <w:t>样品</w:t>
            </w:r>
          </w:p>
        </w:tc>
        <w:tc>
          <w:tcPr>
            <w:tcW w:w="1185"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m</w:t>
            </w:r>
          </w:p>
          <w:p>
            <w:pPr>
              <w:jc w:val="center"/>
              <w:rPr>
                <w:color w:val="000000"/>
                <w:kern w:val="0"/>
                <w:szCs w:val="21"/>
                <w:lang w:bidi="en-US"/>
              </w:rPr>
            </w:pPr>
            <w:r>
              <w:rPr>
                <w:color w:val="000000"/>
                <w:kern w:val="0"/>
                <w:szCs w:val="21"/>
                <w:lang w:bidi="en-US"/>
              </w:rPr>
              <w:t>mg/kg</w:t>
            </w:r>
          </w:p>
        </w:tc>
        <w:tc>
          <w:tcPr>
            <w:tcW w:w="118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ν</w:t>
            </w:r>
          </w:p>
          <w:p>
            <w:pPr>
              <w:jc w:val="center"/>
              <w:rPr>
                <w:color w:val="000000"/>
                <w:kern w:val="0"/>
                <w:szCs w:val="21"/>
                <w:lang w:bidi="en-US"/>
              </w:rPr>
            </w:pPr>
            <w:r>
              <w:rPr>
                <w:color w:val="000000"/>
                <w:kern w:val="0"/>
                <w:szCs w:val="21"/>
                <w:lang w:bidi="en-US"/>
              </w:rPr>
              <w:t>mg/kg</w:t>
            </w:r>
          </w:p>
        </w:tc>
        <w:tc>
          <w:tcPr>
            <w:tcW w:w="1180" w:type="dxa"/>
            <w:tcBorders>
              <w:top w:val="single" w:color="auto" w:sz="4" w:space="0"/>
              <w:left w:val="single" w:color="auto" w:sz="4" w:space="0"/>
            </w:tcBorders>
            <w:shd w:val="clear" w:color="auto" w:fill="FFFFFF"/>
          </w:tcPr>
          <w:p>
            <w:pPr>
              <w:jc w:val="center"/>
              <w:rPr>
                <w:i/>
                <w:iCs/>
                <w:color w:val="000000"/>
                <w:kern w:val="0"/>
                <w:szCs w:val="21"/>
                <w:lang w:bidi="en-US"/>
              </w:rPr>
            </w:pPr>
            <w:r>
              <w:rPr>
                <w:i/>
                <w:iCs/>
                <w:color w:val="000000"/>
                <w:kern w:val="0"/>
                <w:szCs w:val="21"/>
                <w:lang w:bidi="en-US"/>
              </w:rPr>
              <w:t>N</w:t>
            </w:r>
          </w:p>
        </w:tc>
        <w:tc>
          <w:tcPr>
            <w:tcW w:w="118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S(r)</w:t>
            </w:r>
          </w:p>
          <w:p>
            <w:pPr>
              <w:jc w:val="center"/>
              <w:rPr>
                <w:color w:val="000000"/>
                <w:kern w:val="0"/>
                <w:szCs w:val="21"/>
                <w:lang w:bidi="en-US"/>
              </w:rPr>
            </w:pPr>
            <w:r>
              <w:rPr>
                <w:color w:val="000000"/>
                <w:kern w:val="0"/>
                <w:szCs w:val="21"/>
                <w:lang w:bidi="en-US"/>
              </w:rPr>
              <w:t>mg/kg</w:t>
            </w:r>
          </w:p>
        </w:tc>
        <w:tc>
          <w:tcPr>
            <w:tcW w:w="1180" w:type="dxa"/>
            <w:tcBorders>
              <w:top w:val="single" w:color="auto" w:sz="4" w:space="0"/>
              <w:left w:val="single" w:color="auto" w:sz="4" w:space="0"/>
            </w:tcBorders>
            <w:shd w:val="clear" w:color="auto" w:fill="FFFFFF"/>
            <w:vAlign w:val="bottom"/>
          </w:tcPr>
          <w:p>
            <w:pPr>
              <w:jc w:val="center"/>
              <w:rPr>
                <w:color w:val="000000"/>
                <w:kern w:val="0"/>
                <w:szCs w:val="21"/>
                <w:lang w:bidi="en-US"/>
              </w:rPr>
            </w:pPr>
            <w:r>
              <w:rPr>
                <w:color w:val="000000"/>
                <w:kern w:val="0"/>
                <w:szCs w:val="21"/>
                <w:lang w:bidi="en-US"/>
              </w:rPr>
              <w:t>r</w:t>
            </w:r>
          </w:p>
          <w:p>
            <w:pPr>
              <w:jc w:val="center"/>
              <w:rPr>
                <w:color w:val="000000"/>
                <w:kern w:val="0"/>
                <w:szCs w:val="21"/>
                <w:lang w:bidi="en-US"/>
              </w:rPr>
            </w:pPr>
            <w:r>
              <w:rPr>
                <w:color w:val="000000"/>
                <w:kern w:val="0"/>
                <w:szCs w:val="21"/>
                <w:lang w:bidi="en-US"/>
              </w:rPr>
              <w:t>mg/kg</w:t>
            </w:r>
          </w:p>
        </w:tc>
        <w:tc>
          <w:tcPr>
            <w:tcW w:w="1185" w:type="dxa"/>
            <w:tcBorders>
              <w:top w:val="single" w:color="auto" w:sz="4" w:space="0"/>
              <w:left w:val="single" w:color="auto" w:sz="4" w:space="0"/>
            </w:tcBorders>
            <w:shd w:val="clear" w:color="auto" w:fill="FFFFFF"/>
            <w:vAlign w:val="bottom"/>
          </w:tcPr>
          <w:p>
            <w:pPr>
              <w:jc w:val="center"/>
              <w:rPr>
                <w:i/>
                <w:iCs/>
                <w:color w:val="000000"/>
                <w:kern w:val="0"/>
                <w:szCs w:val="21"/>
                <w:lang w:bidi="en-US"/>
              </w:rPr>
            </w:pPr>
            <w:r>
              <w:rPr>
                <w:i/>
                <w:iCs/>
                <w:color w:val="000000"/>
                <w:kern w:val="0"/>
                <w:szCs w:val="21"/>
                <w:lang w:bidi="en-US"/>
              </w:rPr>
              <w:t>s(R)</w:t>
            </w:r>
          </w:p>
          <w:p>
            <w:pPr>
              <w:jc w:val="center"/>
              <w:rPr>
                <w:color w:val="000000"/>
                <w:kern w:val="0"/>
                <w:szCs w:val="21"/>
                <w:lang w:bidi="en-US"/>
              </w:rPr>
            </w:pPr>
            <w:r>
              <w:rPr>
                <w:color w:val="000000"/>
                <w:kern w:val="0"/>
                <w:szCs w:val="21"/>
                <w:lang w:bidi="en-US"/>
              </w:rPr>
              <w:t>mg/kg</w:t>
            </w:r>
          </w:p>
        </w:tc>
        <w:tc>
          <w:tcPr>
            <w:tcW w:w="1189" w:type="dxa"/>
            <w:tcBorders>
              <w:top w:val="single" w:color="auto" w:sz="4" w:space="0"/>
              <w:left w:val="single" w:color="auto" w:sz="4" w:space="0"/>
              <w:right w:val="single" w:color="auto" w:sz="4" w:space="0"/>
            </w:tcBorders>
            <w:shd w:val="clear" w:color="auto" w:fill="FFFFFF"/>
            <w:vAlign w:val="bottom"/>
          </w:tcPr>
          <w:p>
            <w:pPr>
              <w:jc w:val="center"/>
              <w:rPr>
                <w:i/>
                <w:iCs/>
                <w:color w:val="000000"/>
                <w:kern w:val="0"/>
                <w:szCs w:val="21"/>
                <w:lang w:bidi="en-US"/>
              </w:rPr>
            </w:pPr>
            <w:r>
              <w:rPr>
                <w:i/>
                <w:iCs/>
                <w:color w:val="000000"/>
                <w:kern w:val="0"/>
                <w:szCs w:val="21"/>
                <w:lang w:bidi="en-US"/>
              </w:rPr>
              <w:t>R</w:t>
            </w:r>
          </w:p>
          <w:p>
            <w:pPr>
              <w:jc w:val="center"/>
              <w:rPr>
                <w:color w:val="000000"/>
                <w:kern w:val="0"/>
                <w:szCs w:val="21"/>
                <w:lang w:bidi="en-US"/>
              </w:rPr>
            </w:pPr>
            <w:r>
              <w:rPr>
                <w:color w:val="000000"/>
                <w:kern w:val="0"/>
                <w:szCs w:val="21"/>
                <w:lang w:bidi="en-US"/>
              </w:rPr>
              <w:t>mg/kg</w:t>
            </w:r>
          </w:p>
        </w:tc>
      </w:tr>
      <w:tr>
        <w:tblPrEx>
          <w:tblCellMar>
            <w:top w:w="0" w:type="dxa"/>
            <w:left w:w="57" w:type="dxa"/>
            <w:bottom w:w="0" w:type="dxa"/>
            <w:right w:w="57" w:type="dxa"/>
          </w:tblCellMar>
        </w:tblPrEx>
        <w:trPr>
          <w:trHeight w:val="454" w:hRule="atLeast"/>
        </w:trPr>
        <w:tc>
          <w:tcPr>
            <w:tcW w:w="11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IIS9-A01</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4 513</w:t>
            </w:r>
            <w:r>
              <w:rPr>
                <w:rFonts w:hint="eastAsia"/>
                <w:color w:val="000000"/>
                <w:kern w:val="0"/>
                <w:szCs w:val="21"/>
                <w:lang w:eastAsia="zh-CN" w:bidi="en-US"/>
              </w:rPr>
              <w:t>.</w:t>
            </w:r>
            <w:r>
              <w:rPr>
                <w:color w:val="000000"/>
                <w:kern w:val="0"/>
                <w:szCs w:val="21"/>
                <w:lang w:bidi="en-US"/>
              </w:rPr>
              <w:t>2</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6 080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36</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314</w:t>
            </w:r>
            <w:r>
              <w:rPr>
                <w:rFonts w:hint="eastAsia"/>
                <w:color w:val="000000"/>
                <w:kern w:val="0"/>
                <w:szCs w:val="21"/>
                <w:lang w:eastAsia="zh-CN" w:bidi="en-US"/>
              </w:rPr>
              <w:t>.</w:t>
            </w:r>
            <w:r>
              <w:rPr>
                <w:color w:val="000000"/>
                <w:kern w:val="0"/>
                <w:szCs w:val="21"/>
                <w:lang w:bidi="en-US"/>
              </w:rPr>
              <w:t>70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881</w:t>
            </w:r>
            <w:r>
              <w:rPr>
                <w:rFonts w:hint="eastAsia"/>
                <w:color w:val="000000"/>
                <w:kern w:val="0"/>
                <w:szCs w:val="21"/>
                <w:lang w:eastAsia="zh-CN" w:bidi="en-US"/>
              </w:rPr>
              <w:t>.</w:t>
            </w:r>
            <w:r>
              <w:rPr>
                <w:color w:val="000000"/>
                <w:kern w:val="0"/>
                <w:szCs w:val="21"/>
                <w:lang w:bidi="en-US"/>
              </w:rPr>
              <w:t>17</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1 581</w:t>
            </w:r>
            <w:r>
              <w:rPr>
                <w:rFonts w:hint="eastAsia"/>
                <w:color w:val="000000"/>
                <w:kern w:val="0"/>
                <w:szCs w:val="21"/>
                <w:lang w:eastAsia="zh-CN" w:bidi="en-US"/>
              </w:rPr>
              <w:t>.</w:t>
            </w:r>
            <w:r>
              <w:rPr>
                <w:color w:val="000000"/>
                <w:kern w:val="0"/>
                <w:szCs w:val="21"/>
                <w:lang w:bidi="en-US"/>
              </w:rPr>
              <w:t>08</w:t>
            </w:r>
          </w:p>
        </w:tc>
        <w:tc>
          <w:tcPr>
            <w:tcW w:w="1189"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4 427</w:t>
            </w:r>
            <w:r>
              <w:rPr>
                <w:rFonts w:hint="eastAsia"/>
                <w:color w:val="000000"/>
                <w:kern w:val="0"/>
                <w:szCs w:val="21"/>
                <w:lang w:eastAsia="zh-CN" w:bidi="en-US"/>
              </w:rPr>
              <w:t>.</w:t>
            </w:r>
            <w:r>
              <w:rPr>
                <w:color w:val="000000"/>
                <w:kern w:val="0"/>
                <w:szCs w:val="21"/>
                <w:lang w:bidi="en-US"/>
              </w:rPr>
              <w:t>02</w:t>
            </w:r>
          </w:p>
        </w:tc>
      </w:tr>
      <w:tr>
        <w:tblPrEx>
          <w:tblCellMar>
            <w:top w:w="0" w:type="dxa"/>
            <w:left w:w="57" w:type="dxa"/>
            <w:bottom w:w="0" w:type="dxa"/>
            <w:right w:w="57" w:type="dxa"/>
          </w:tblCellMar>
        </w:tblPrEx>
        <w:trPr>
          <w:trHeight w:val="454" w:hRule="atLeast"/>
        </w:trPr>
        <w:tc>
          <w:tcPr>
            <w:tcW w:w="11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IIS9-B02</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10 623</w:t>
            </w:r>
            <w:r>
              <w:rPr>
                <w:rFonts w:hint="eastAsia"/>
                <w:color w:val="000000"/>
                <w:kern w:val="0"/>
                <w:szCs w:val="21"/>
                <w:lang w:eastAsia="zh-CN" w:bidi="en-US"/>
              </w:rPr>
              <w:t>.</w:t>
            </w:r>
            <w:r>
              <w:rPr>
                <w:color w:val="000000"/>
                <w:kern w:val="0"/>
                <w:szCs w:val="21"/>
                <w:lang w:bidi="en-US"/>
              </w:rPr>
              <w:t>71</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11 940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24</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1 222</w:t>
            </w:r>
            <w:r>
              <w:rPr>
                <w:rFonts w:hint="eastAsia"/>
                <w:color w:val="000000"/>
                <w:kern w:val="0"/>
                <w:szCs w:val="21"/>
                <w:lang w:eastAsia="zh-CN" w:bidi="en-US"/>
              </w:rPr>
              <w:t>.</w:t>
            </w:r>
            <w:r>
              <w:rPr>
                <w:color w:val="000000"/>
                <w:kern w:val="0"/>
                <w:szCs w:val="21"/>
                <w:lang w:bidi="en-US"/>
              </w:rPr>
              <w:t>1</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3 421</w:t>
            </w:r>
            <w:r>
              <w:rPr>
                <w:rFonts w:hint="eastAsia"/>
                <w:color w:val="000000"/>
                <w:kern w:val="0"/>
                <w:szCs w:val="21"/>
                <w:lang w:eastAsia="zh-CN" w:bidi="en-US"/>
              </w:rPr>
              <w:t>.</w:t>
            </w:r>
            <w:r>
              <w:rPr>
                <w:color w:val="000000"/>
                <w:kern w:val="0"/>
                <w:szCs w:val="21"/>
                <w:lang w:bidi="en-US"/>
              </w:rPr>
              <w:t>82</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2 836</w:t>
            </w:r>
            <w:r>
              <w:rPr>
                <w:rFonts w:hint="eastAsia"/>
                <w:color w:val="000000"/>
                <w:kern w:val="0"/>
                <w:szCs w:val="21"/>
                <w:lang w:eastAsia="zh-CN" w:bidi="en-US"/>
              </w:rPr>
              <w:t>.</w:t>
            </w:r>
            <w:r>
              <w:rPr>
                <w:color w:val="000000"/>
                <w:kern w:val="0"/>
                <w:szCs w:val="21"/>
                <w:lang w:bidi="en-US"/>
              </w:rPr>
              <w:t>47</w:t>
            </w:r>
          </w:p>
        </w:tc>
        <w:tc>
          <w:tcPr>
            <w:tcW w:w="1189"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7 942</w:t>
            </w:r>
            <w:r>
              <w:rPr>
                <w:rFonts w:hint="eastAsia"/>
                <w:color w:val="000000"/>
                <w:kern w:val="0"/>
                <w:szCs w:val="21"/>
                <w:lang w:eastAsia="zh-CN" w:bidi="en-US"/>
              </w:rPr>
              <w:t>.</w:t>
            </w:r>
            <w:r>
              <w:rPr>
                <w:color w:val="000000"/>
                <w:kern w:val="0"/>
                <w:szCs w:val="21"/>
                <w:lang w:bidi="en-US"/>
              </w:rPr>
              <w:t>11</w:t>
            </w:r>
          </w:p>
        </w:tc>
      </w:tr>
      <w:tr>
        <w:tblPrEx>
          <w:tblCellMar>
            <w:top w:w="0" w:type="dxa"/>
            <w:left w:w="57" w:type="dxa"/>
            <w:bottom w:w="0" w:type="dxa"/>
            <w:right w:w="57" w:type="dxa"/>
          </w:tblCellMar>
        </w:tblPrEx>
        <w:trPr>
          <w:trHeight w:val="454" w:hRule="atLeast"/>
        </w:trPr>
        <w:tc>
          <w:tcPr>
            <w:tcW w:w="11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IIS9-C03</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9 924</w:t>
            </w:r>
            <w:r>
              <w:rPr>
                <w:rFonts w:hint="eastAsia"/>
                <w:color w:val="000000"/>
                <w:kern w:val="0"/>
                <w:szCs w:val="21"/>
                <w:lang w:eastAsia="zh-CN" w:bidi="en-US"/>
              </w:rPr>
              <w:t>.</w:t>
            </w:r>
            <w:r>
              <w:rPr>
                <w:color w:val="000000"/>
                <w:kern w:val="0"/>
                <w:szCs w:val="21"/>
                <w:lang w:bidi="en-US"/>
              </w:rPr>
              <w:t>00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10 220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24</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672</w:t>
            </w:r>
            <w:r>
              <w:rPr>
                <w:rFonts w:hint="eastAsia"/>
                <w:color w:val="000000"/>
                <w:kern w:val="0"/>
                <w:szCs w:val="21"/>
                <w:lang w:eastAsia="zh-CN" w:bidi="en-US"/>
              </w:rPr>
              <w:t>.</w:t>
            </w:r>
            <w:r>
              <w:rPr>
                <w:color w:val="000000"/>
                <w:kern w:val="0"/>
                <w:szCs w:val="21"/>
                <w:lang w:bidi="en-US"/>
              </w:rPr>
              <w:t>4</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1 882</w:t>
            </w:r>
            <w:r>
              <w:rPr>
                <w:rFonts w:hint="eastAsia"/>
                <w:color w:val="000000"/>
                <w:kern w:val="0"/>
                <w:szCs w:val="21"/>
                <w:lang w:eastAsia="zh-CN" w:bidi="en-US"/>
              </w:rPr>
              <w:t>.</w:t>
            </w:r>
            <w:r>
              <w:rPr>
                <w:color w:val="000000"/>
                <w:kern w:val="0"/>
                <w:szCs w:val="21"/>
                <w:lang w:bidi="en-US"/>
              </w:rPr>
              <w:t>62</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1 858</w:t>
            </w:r>
            <w:r>
              <w:rPr>
                <w:rFonts w:hint="eastAsia"/>
                <w:color w:val="000000"/>
                <w:kern w:val="0"/>
                <w:szCs w:val="21"/>
                <w:lang w:eastAsia="zh-CN" w:bidi="en-US"/>
              </w:rPr>
              <w:t>.</w:t>
            </w:r>
            <w:r>
              <w:rPr>
                <w:color w:val="000000"/>
                <w:kern w:val="0"/>
                <w:szCs w:val="21"/>
                <w:lang w:bidi="en-US"/>
              </w:rPr>
              <w:t>43</w:t>
            </w:r>
          </w:p>
        </w:tc>
        <w:tc>
          <w:tcPr>
            <w:tcW w:w="1189"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5 203</w:t>
            </w:r>
            <w:r>
              <w:rPr>
                <w:rFonts w:hint="eastAsia"/>
                <w:color w:val="000000"/>
                <w:kern w:val="0"/>
                <w:szCs w:val="21"/>
                <w:lang w:eastAsia="zh-CN" w:bidi="en-US"/>
              </w:rPr>
              <w:t>.</w:t>
            </w:r>
            <w:r>
              <w:rPr>
                <w:color w:val="000000"/>
                <w:kern w:val="0"/>
                <w:szCs w:val="21"/>
                <w:lang w:bidi="en-US"/>
              </w:rPr>
              <w:t>60</w:t>
            </w:r>
          </w:p>
        </w:tc>
      </w:tr>
      <w:tr>
        <w:tblPrEx>
          <w:tblCellMar>
            <w:top w:w="0" w:type="dxa"/>
            <w:left w:w="57" w:type="dxa"/>
            <w:bottom w:w="0" w:type="dxa"/>
            <w:right w:w="57" w:type="dxa"/>
          </w:tblCellMar>
        </w:tblPrEx>
        <w:trPr>
          <w:trHeight w:val="454" w:hRule="atLeast"/>
        </w:trPr>
        <w:tc>
          <w:tcPr>
            <w:tcW w:w="11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IIS9-D04</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811</w:t>
            </w:r>
            <w:r>
              <w:rPr>
                <w:rFonts w:hint="eastAsia"/>
                <w:color w:val="000000"/>
                <w:kern w:val="0"/>
                <w:szCs w:val="21"/>
                <w:lang w:eastAsia="zh-CN" w:bidi="en-US"/>
              </w:rPr>
              <w:t>.</w:t>
            </w:r>
            <w:r>
              <w:rPr>
                <w:color w:val="000000"/>
                <w:kern w:val="0"/>
                <w:szCs w:val="21"/>
                <w:lang w:bidi="en-US"/>
              </w:rPr>
              <w:t>83</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1 000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12</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90</w:t>
            </w:r>
            <w:r>
              <w:rPr>
                <w:rFonts w:hint="eastAsia"/>
                <w:color w:val="000000"/>
                <w:kern w:val="0"/>
                <w:szCs w:val="21"/>
                <w:lang w:eastAsia="zh-CN" w:bidi="en-US"/>
              </w:rPr>
              <w:t>.</w:t>
            </w:r>
            <w:r>
              <w:rPr>
                <w:color w:val="000000"/>
                <w:kern w:val="0"/>
                <w:szCs w:val="21"/>
                <w:lang w:bidi="en-US"/>
              </w:rPr>
              <w:t>8</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254</w:t>
            </w:r>
            <w:r>
              <w:rPr>
                <w:rFonts w:hint="eastAsia"/>
                <w:color w:val="000000"/>
                <w:kern w:val="0"/>
                <w:szCs w:val="21"/>
                <w:lang w:eastAsia="zh-CN" w:bidi="en-US"/>
              </w:rPr>
              <w:t>.</w:t>
            </w:r>
            <w:r>
              <w:rPr>
                <w:color w:val="000000"/>
                <w:kern w:val="0"/>
                <w:szCs w:val="21"/>
                <w:lang w:bidi="en-US"/>
              </w:rPr>
              <w:t>32</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220</w:t>
            </w:r>
            <w:r>
              <w:rPr>
                <w:rFonts w:hint="eastAsia"/>
                <w:color w:val="000000"/>
                <w:kern w:val="0"/>
                <w:szCs w:val="21"/>
                <w:lang w:eastAsia="zh-CN" w:bidi="en-US"/>
              </w:rPr>
              <w:t>.</w:t>
            </w:r>
            <w:r>
              <w:rPr>
                <w:color w:val="000000"/>
                <w:kern w:val="0"/>
                <w:szCs w:val="21"/>
                <w:lang w:bidi="en-US"/>
              </w:rPr>
              <w:t>08</w:t>
            </w:r>
          </w:p>
        </w:tc>
        <w:tc>
          <w:tcPr>
            <w:tcW w:w="1189"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616</w:t>
            </w:r>
            <w:r>
              <w:rPr>
                <w:rFonts w:hint="eastAsia"/>
                <w:color w:val="000000"/>
                <w:kern w:val="0"/>
                <w:szCs w:val="21"/>
                <w:lang w:eastAsia="zh-CN" w:bidi="en-US"/>
              </w:rPr>
              <w:t>.</w:t>
            </w:r>
            <w:r>
              <w:rPr>
                <w:color w:val="000000"/>
                <w:kern w:val="0"/>
                <w:szCs w:val="21"/>
                <w:lang w:bidi="en-US"/>
              </w:rPr>
              <w:t>22</w:t>
            </w:r>
          </w:p>
        </w:tc>
      </w:tr>
      <w:tr>
        <w:tblPrEx>
          <w:tblCellMar>
            <w:top w:w="0" w:type="dxa"/>
            <w:left w:w="57" w:type="dxa"/>
            <w:bottom w:w="0" w:type="dxa"/>
            <w:right w:w="57" w:type="dxa"/>
          </w:tblCellMar>
        </w:tblPrEx>
        <w:trPr>
          <w:trHeight w:val="454" w:hRule="atLeast"/>
        </w:trPr>
        <w:tc>
          <w:tcPr>
            <w:tcW w:w="118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IIS9-E05</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7 991</w:t>
            </w:r>
            <w:r>
              <w:rPr>
                <w:rFonts w:hint="eastAsia"/>
                <w:color w:val="000000"/>
                <w:kern w:val="0"/>
                <w:szCs w:val="21"/>
                <w:lang w:eastAsia="zh-CN" w:bidi="en-US"/>
              </w:rPr>
              <w:t>.</w:t>
            </w:r>
            <w:r>
              <w:rPr>
                <w:color w:val="000000"/>
                <w:kern w:val="0"/>
                <w:szCs w:val="21"/>
                <w:lang w:bidi="en-US"/>
              </w:rPr>
              <w:t>13</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10 000</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15</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924</w:t>
            </w:r>
            <w:r>
              <w:rPr>
                <w:rFonts w:hint="eastAsia"/>
                <w:color w:val="000000"/>
                <w:kern w:val="0"/>
                <w:szCs w:val="21"/>
                <w:lang w:eastAsia="zh-CN" w:bidi="en-US"/>
              </w:rPr>
              <w:t>.</w:t>
            </w:r>
            <w:r>
              <w:rPr>
                <w:color w:val="000000"/>
                <w:kern w:val="0"/>
                <w:szCs w:val="21"/>
                <w:lang w:bidi="en-US"/>
              </w:rPr>
              <w:t>5</w:t>
            </w:r>
          </w:p>
        </w:tc>
        <w:tc>
          <w:tcPr>
            <w:tcW w:w="118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2 588</w:t>
            </w:r>
            <w:r>
              <w:rPr>
                <w:rFonts w:hint="eastAsia"/>
                <w:color w:val="000000"/>
                <w:kern w:val="0"/>
                <w:szCs w:val="21"/>
                <w:lang w:eastAsia="zh-CN" w:bidi="en-US"/>
              </w:rPr>
              <w:t>.</w:t>
            </w:r>
            <w:r>
              <w:rPr>
                <w:color w:val="000000"/>
                <w:kern w:val="0"/>
                <w:szCs w:val="21"/>
                <w:lang w:bidi="en-US"/>
              </w:rPr>
              <w:t>69</w:t>
            </w:r>
          </w:p>
        </w:tc>
        <w:tc>
          <w:tcPr>
            <w:tcW w:w="118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1 642</w:t>
            </w:r>
            <w:r>
              <w:rPr>
                <w:rFonts w:hint="eastAsia"/>
                <w:color w:val="000000"/>
                <w:kern w:val="0"/>
                <w:szCs w:val="21"/>
                <w:lang w:eastAsia="zh-CN" w:bidi="en-US"/>
              </w:rPr>
              <w:t>.</w:t>
            </w:r>
            <w:r>
              <w:rPr>
                <w:color w:val="000000"/>
                <w:kern w:val="0"/>
                <w:szCs w:val="21"/>
                <w:lang w:bidi="en-US"/>
              </w:rPr>
              <w:t>81</w:t>
            </w:r>
          </w:p>
        </w:tc>
        <w:tc>
          <w:tcPr>
            <w:tcW w:w="1189"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4 599</w:t>
            </w:r>
            <w:r>
              <w:rPr>
                <w:rFonts w:hint="eastAsia"/>
                <w:color w:val="000000"/>
                <w:kern w:val="0"/>
                <w:szCs w:val="21"/>
                <w:lang w:eastAsia="zh-CN" w:bidi="en-US"/>
              </w:rPr>
              <w:t>.</w:t>
            </w:r>
            <w:r>
              <w:rPr>
                <w:color w:val="000000"/>
                <w:kern w:val="0"/>
                <w:szCs w:val="21"/>
                <w:lang w:bidi="en-US"/>
              </w:rPr>
              <w:t>88</w:t>
            </w:r>
          </w:p>
        </w:tc>
      </w:tr>
      <w:tr>
        <w:tblPrEx>
          <w:tblCellMar>
            <w:top w:w="0" w:type="dxa"/>
            <w:left w:w="57" w:type="dxa"/>
            <w:bottom w:w="0" w:type="dxa"/>
            <w:right w:w="57" w:type="dxa"/>
          </w:tblCellMar>
        </w:tblPrEx>
        <w:tc>
          <w:tcPr>
            <w:tcW w:w="9468" w:type="dxa"/>
            <w:gridSpan w:val="8"/>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kern w:val="0"/>
                <w:szCs w:val="21"/>
                <w:lang w:bidi="en-US"/>
              </w:rPr>
            </w:pPr>
            <w:r>
              <w:rPr>
                <w:color w:val="000000"/>
                <w:kern w:val="0"/>
                <w:szCs w:val="21"/>
                <w:lang w:bidi="en-US"/>
              </w:rPr>
              <w:t>符号说明</w:t>
            </w:r>
          </w:p>
          <w:p>
            <w:pPr>
              <w:tabs>
                <w:tab w:val="left" w:pos="733"/>
              </w:tabs>
              <w:rPr>
                <w:color w:val="000000"/>
                <w:kern w:val="0"/>
                <w:szCs w:val="21"/>
                <w:lang w:bidi="en-US"/>
              </w:rPr>
            </w:pPr>
            <w:r>
              <w:rPr>
                <w:color w:val="000000"/>
                <w:kern w:val="0"/>
                <w:szCs w:val="21"/>
                <w:lang w:bidi="en-US"/>
              </w:rPr>
              <w:t xml:space="preserve">m </w:t>
            </w:r>
            <w:r>
              <w:rPr>
                <w:color w:val="000000"/>
                <w:kern w:val="0"/>
                <w:szCs w:val="21"/>
                <w:lang w:bidi="en-US"/>
              </w:rPr>
              <w:tab/>
            </w:r>
            <w:r>
              <w:rPr>
                <w:color w:val="000000"/>
                <w:kern w:val="0"/>
                <w:szCs w:val="21"/>
                <w:lang w:bidi="en-US"/>
              </w:rPr>
              <w:t>检测结果的算术平均值</w:t>
            </w:r>
          </w:p>
          <w:p>
            <w:pPr>
              <w:tabs>
                <w:tab w:val="left" w:pos="733"/>
              </w:tabs>
              <w:rPr>
                <w:color w:val="000000"/>
                <w:kern w:val="0"/>
                <w:szCs w:val="21"/>
                <w:lang w:bidi="en-US"/>
              </w:rPr>
            </w:pPr>
            <w:r>
              <w:rPr>
                <w:color w:val="000000"/>
                <w:kern w:val="0"/>
                <w:szCs w:val="21"/>
                <w:lang w:bidi="en-US"/>
              </w:rPr>
              <w:t xml:space="preserve">v </w:t>
            </w:r>
            <w:r>
              <w:rPr>
                <w:color w:val="000000"/>
                <w:kern w:val="0"/>
                <w:szCs w:val="21"/>
                <w:lang w:bidi="en-US"/>
              </w:rPr>
              <w:tab/>
            </w:r>
            <w:r>
              <w:rPr>
                <w:color w:val="000000"/>
                <w:kern w:val="0"/>
                <w:szCs w:val="21"/>
                <w:lang w:bidi="en-US"/>
              </w:rPr>
              <w:t>预期值</w:t>
            </w:r>
          </w:p>
          <w:p>
            <w:pPr>
              <w:tabs>
                <w:tab w:val="left" w:pos="733"/>
              </w:tabs>
              <w:rPr>
                <w:color w:val="000000"/>
                <w:kern w:val="0"/>
                <w:szCs w:val="21"/>
                <w:lang w:bidi="en-US"/>
              </w:rPr>
            </w:pPr>
            <w:r>
              <w:rPr>
                <w:color w:val="000000"/>
                <w:kern w:val="0"/>
                <w:szCs w:val="21"/>
                <w:lang w:bidi="en-US"/>
              </w:rPr>
              <w:t xml:space="preserve">N </w:t>
            </w:r>
            <w:r>
              <w:rPr>
                <w:color w:val="000000"/>
                <w:kern w:val="0"/>
                <w:szCs w:val="21"/>
                <w:lang w:bidi="en-US"/>
              </w:rPr>
              <w:tab/>
            </w:r>
            <w:r>
              <w:rPr>
                <w:color w:val="000000"/>
                <w:kern w:val="0"/>
                <w:szCs w:val="21"/>
                <w:lang w:bidi="en-US"/>
              </w:rPr>
              <w:t>合格检测结果数量</w:t>
            </w:r>
          </w:p>
          <w:p>
            <w:pPr>
              <w:tabs>
                <w:tab w:val="left" w:pos="733"/>
              </w:tabs>
              <w:rPr>
                <w:color w:val="000000"/>
                <w:kern w:val="0"/>
                <w:szCs w:val="21"/>
                <w:lang w:bidi="en-US"/>
              </w:rPr>
            </w:pPr>
            <w:r>
              <w:rPr>
                <w:color w:val="000000"/>
                <w:kern w:val="0"/>
                <w:szCs w:val="21"/>
                <w:lang w:bidi="en-US"/>
              </w:rPr>
              <w:t>s（r）</w:t>
            </w:r>
            <w:r>
              <w:rPr>
                <w:rFonts w:hint="eastAsia"/>
                <w:color w:val="000000"/>
                <w:kern w:val="0"/>
                <w:szCs w:val="21"/>
                <w:lang w:bidi="en-US"/>
              </w:rPr>
              <w:tab/>
            </w:r>
            <w:r>
              <w:rPr>
                <w:color w:val="000000"/>
                <w:kern w:val="0"/>
                <w:szCs w:val="21"/>
                <w:lang w:bidi="en-US"/>
              </w:rPr>
              <w:t>重复性标准偏差</w:t>
            </w:r>
          </w:p>
          <w:p>
            <w:pPr>
              <w:tabs>
                <w:tab w:val="left" w:pos="733"/>
              </w:tabs>
              <w:rPr>
                <w:color w:val="000000"/>
                <w:kern w:val="0"/>
                <w:szCs w:val="21"/>
                <w:lang w:bidi="en-US"/>
              </w:rPr>
            </w:pPr>
            <w:r>
              <w:rPr>
                <w:color w:val="000000"/>
                <w:kern w:val="0"/>
                <w:szCs w:val="21"/>
                <w:lang w:bidi="en-US"/>
              </w:rPr>
              <w:t xml:space="preserve">r </w:t>
            </w:r>
            <w:r>
              <w:rPr>
                <w:color w:val="000000"/>
                <w:kern w:val="0"/>
                <w:szCs w:val="21"/>
                <w:lang w:bidi="en-US"/>
              </w:rPr>
              <w:tab/>
            </w:r>
            <w:r>
              <w:rPr>
                <w:color w:val="000000"/>
                <w:kern w:val="0"/>
                <w:szCs w:val="21"/>
                <w:lang w:bidi="en-US"/>
              </w:rPr>
              <w:t>重复性限</w:t>
            </w:r>
          </w:p>
          <w:p>
            <w:pPr>
              <w:tabs>
                <w:tab w:val="left" w:pos="733"/>
              </w:tabs>
              <w:rPr>
                <w:iCs/>
                <w:color w:val="000000"/>
                <w:kern w:val="0"/>
                <w:szCs w:val="21"/>
                <w:lang w:bidi="en-US"/>
              </w:rPr>
            </w:pPr>
            <w:r>
              <w:rPr>
                <w:i/>
                <w:iCs/>
                <w:color w:val="000000"/>
                <w:kern w:val="0"/>
                <w:szCs w:val="21"/>
                <w:lang w:bidi="en-US"/>
              </w:rPr>
              <w:t xml:space="preserve">s(R) </w:t>
            </w:r>
            <w:r>
              <w:rPr>
                <w:i/>
                <w:iCs/>
                <w:color w:val="000000"/>
                <w:kern w:val="0"/>
                <w:szCs w:val="21"/>
                <w:lang w:bidi="en-US"/>
              </w:rPr>
              <w:tab/>
            </w:r>
            <w:r>
              <w:rPr>
                <w:iCs/>
                <w:color w:val="000000"/>
                <w:kern w:val="0"/>
                <w:szCs w:val="21"/>
                <w:lang w:bidi="en-US"/>
              </w:rPr>
              <w:t>再现性标准偏差</w:t>
            </w:r>
          </w:p>
          <w:p>
            <w:pPr>
              <w:tabs>
                <w:tab w:val="left" w:pos="733"/>
              </w:tabs>
              <w:rPr>
                <w:iCs/>
                <w:color w:val="000000"/>
                <w:kern w:val="0"/>
                <w:szCs w:val="21"/>
                <w:lang w:bidi="en-US"/>
              </w:rPr>
            </w:pPr>
            <w:r>
              <w:rPr>
                <w:i/>
                <w:iCs/>
                <w:color w:val="000000"/>
                <w:kern w:val="0"/>
                <w:szCs w:val="21"/>
                <w:lang w:bidi="en-US"/>
              </w:rPr>
              <w:t xml:space="preserve">R </w:t>
            </w:r>
            <w:r>
              <w:rPr>
                <w:i/>
                <w:iCs/>
                <w:color w:val="000000"/>
                <w:kern w:val="0"/>
                <w:szCs w:val="21"/>
                <w:lang w:bidi="en-US"/>
              </w:rPr>
              <w:tab/>
            </w:r>
            <w:r>
              <w:rPr>
                <w:iCs/>
                <w:color w:val="000000"/>
                <w:kern w:val="0"/>
                <w:szCs w:val="21"/>
                <w:lang w:bidi="en-US"/>
              </w:rPr>
              <w:t>再现性</w:t>
            </w:r>
            <w:r>
              <w:rPr>
                <w:kern w:val="0"/>
                <w:szCs w:val="21"/>
              </w:rPr>
              <w:t>限</w:t>
            </w:r>
          </w:p>
        </w:tc>
      </w:tr>
    </w:tbl>
    <w:p>
      <w:pPr>
        <w:spacing w:before="156" w:beforeLines="50" w:after="156" w:afterLines="50"/>
        <w:jc w:val="center"/>
        <w:rPr>
          <w:b/>
          <w:bCs/>
          <w:szCs w:val="21"/>
        </w:rPr>
      </w:pPr>
      <w:bookmarkStart w:id="53" w:name="bookmark47"/>
    </w:p>
    <w:p>
      <w:pPr>
        <w:jc w:val="left"/>
        <w:rPr>
          <w:b/>
          <w:bCs/>
          <w:szCs w:val="21"/>
        </w:rPr>
      </w:pPr>
      <w:r>
        <w:rPr>
          <w:b/>
          <w:bCs/>
          <w:szCs w:val="21"/>
        </w:rPr>
        <w:br w:type="page"/>
      </w:r>
    </w:p>
    <w:p>
      <w:pPr>
        <w:spacing w:before="156" w:beforeLines="50" w:after="156" w:afterLines="50"/>
        <w:jc w:val="center"/>
        <w:rPr>
          <w:b/>
          <w:bCs/>
          <w:szCs w:val="21"/>
        </w:rPr>
      </w:pPr>
      <w:r>
        <w:rPr>
          <w:b/>
          <w:bCs/>
          <w:szCs w:val="21"/>
        </w:rPr>
        <w:t>表C.3使用HPLC-MS测定HBCDD的平均结果和回收率</w:t>
      </w:r>
      <w:bookmarkEnd w:id="53"/>
    </w:p>
    <w:tbl>
      <w:tblPr>
        <w:tblStyle w:val="37"/>
        <w:tblW w:w="9468" w:type="dxa"/>
        <w:tblInd w:w="0" w:type="dxa"/>
        <w:tblLayout w:type="fixed"/>
        <w:tblCellMar>
          <w:top w:w="0" w:type="dxa"/>
          <w:left w:w="57" w:type="dxa"/>
          <w:bottom w:w="0" w:type="dxa"/>
          <w:right w:w="57" w:type="dxa"/>
        </w:tblCellMar>
      </w:tblPr>
      <w:tblGrid>
        <w:gridCol w:w="1635"/>
        <w:gridCol w:w="2675"/>
        <w:gridCol w:w="1904"/>
        <w:gridCol w:w="1619"/>
        <w:gridCol w:w="1635"/>
      </w:tblGrid>
      <w:tr>
        <w:tblPrEx>
          <w:tblCellMar>
            <w:top w:w="0" w:type="dxa"/>
            <w:left w:w="57" w:type="dxa"/>
            <w:bottom w:w="0" w:type="dxa"/>
            <w:right w:w="57" w:type="dxa"/>
          </w:tblCellMar>
        </w:tblPrEx>
        <w:tc>
          <w:tcPr>
            <w:tcW w:w="1635"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样品编号</w:t>
            </w:r>
          </w:p>
        </w:tc>
        <w:tc>
          <w:tcPr>
            <w:tcW w:w="2675"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样品描述</w:t>
            </w:r>
          </w:p>
        </w:tc>
        <w:tc>
          <w:tcPr>
            <w:tcW w:w="1904"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HBCDD平均结果</w:t>
            </w:r>
          </w:p>
        </w:tc>
        <w:tc>
          <w:tcPr>
            <w:tcW w:w="1619" w:type="dxa"/>
            <w:tcBorders>
              <w:top w:val="single" w:color="auto" w:sz="4" w:space="0"/>
              <w:lef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标准偏差</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b/>
                <w:color w:val="000000"/>
                <w:kern w:val="0"/>
                <w:szCs w:val="21"/>
                <w:lang w:bidi="en-US"/>
              </w:rPr>
            </w:pPr>
            <w:r>
              <w:rPr>
                <w:b/>
                <w:color w:val="000000"/>
                <w:kern w:val="0"/>
                <w:szCs w:val="21"/>
                <w:lang w:bidi="en-US"/>
              </w:rPr>
              <w:t>预期值</w:t>
            </w:r>
          </w:p>
        </w:tc>
      </w:tr>
      <w:tr>
        <w:tblPrEx>
          <w:tblCellMar>
            <w:top w:w="0" w:type="dxa"/>
            <w:left w:w="57" w:type="dxa"/>
            <w:bottom w:w="0" w:type="dxa"/>
            <w:right w:w="57" w:type="dxa"/>
          </w:tblCellMar>
        </w:tblPrEx>
        <w:tc>
          <w:tcPr>
            <w:tcW w:w="1635" w:type="dxa"/>
            <w:tcBorders>
              <w:left w:val="single" w:color="auto" w:sz="4" w:space="0"/>
            </w:tcBorders>
            <w:shd w:val="clear" w:color="auto" w:fill="FFFFFF"/>
            <w:vAlign w:val="center"/>
          </w:tcPr>
          <w:p>
            <w:pPr>
              <w:jc w:val="center"/>
              <w:rPr>
                <w:rFonts w:eastAsia="Microsoft JhengHei Light"/>
                <w:color w:val="000000"/>
                <w:kern w:val="0"/>
                <w:szCs w:val="21"/>
                <w:lang w:bidi="en-US"/>
              </w:rPr>
            </w:pPr>
          </w:p>
        </w:tc>
        <w:tc>
          <w:tcPr>
            <w:tcW w:w="2675" w:type="dxa"/>
            <w:tcBorders>
              <w:left w:val="single" w:color="auto" w:sz="4" w:space="0"/>
            </w:tcBorders>
            <w:shd w:val="clear" w:color="auto" w:fill="FFFFFF"/>
            <w:vAlign w:val="center"/>
          </w:tcPr>
          <w:p>
            <w:pPr>
              <w:jc w:val="center"/>
              <w:rPr>
                <w:rFonts w:eastAsia="Microsoft JhengHei Light"/>
                <w:color w:val="000000"/>
                <w:kern w:val="0"/>
                <w:szCs w:val="21"/>
                <w:lang w:bidi="en-US"/>
              </w:rPr>
            </w:pPr>
          </w:p>
        </w:tc>
        <w:tc>
          <w:tcPr>
            <w:tcW w:w="1904" w:type="dxa"/>
            <w:tcBorders>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mg/kg</w:t>
            </w:r>
          </w:p>
        </w:tc>
        <w:tc>
          <w:tcPr>
            <w:tcW w:w="1619" w:type="dxa"/>
            <w:tcBorders>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mg/kg</w:t>
            </w:r>
          </w:p>
        </w:tc>
        <w:tc>
          <w:tcPr>
            <w:tcW w:w="1635" w:type="dxa"/>
            <w:tcBorders>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mg/kg</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IIS9-A01</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定制样品（EPS）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5 435</w:t>
            </w:r>
            <w:r>
              <w:rPr>
                <w:rFonts w:hint="eastAsia"/>
                <w:color w:val="000000"/>
                <w:kern w:val="0"/>
                <w:szCs w:val="21"/>
                <w:lang w:eastAsia="zh-CN" w:bidi="en-US"/>
              </w:rPr>
              <w:t>.</w:t>
            </w:r>
            <w:r>
              <w:rPr>
                <w:color w:val="000000"/>
                <w:kern w:val="0"/>
                <w:szCs w:val="21"/>
                <w:lang w:bidi="en-US"/>
              </w:rPr>
              <w:t>6</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165</w:t>
            </w:r>
            <w:r>
              <w:rPr>
                <w:rFonts w:hint="eastAsia"/>
                <w:color w:val="000000"/>
                <w:kern w:val="0"/>
                <w:szCs w:val="21"/>
                <w:lang w:eastAsia="zh-CN" w:bidi="en-US"/>
              </w:rPr>
              <w:t>.</w:t>
            </w:r>
            <w:r>
              <w:rPr>
                <w:color w:val="000000"/>
                <w:kern w:val="0"/>
                <w:szCs w:val="21"/>
                <w:lang w:bidi="en-US"/>
              </w:rPr>
              <w:t>65</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6 080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IIS9-B02</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定制样品（EPS）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11 073</w:t>
            </w:r>
            <w:r>
              <w:rPr>
                <w:rFonts w:hint="eastAsia"/>
                <w:color w:val="000000"/>
                <w:kern w:val="0"/>
                <w:szCs w:val="21"/>
                <w:lang w:eastAsia="zh-CN" w:bidi="en-US"/>
              </w:rPr>
              <w:t>.</w:t>
            </w:r>
            <w:r>
              <w:rPr>
                <w:color w:val="000000"/>
                <w:kern w:val="0"/>
                <w:szCs w:val="21"/>
                <w:lang w:bidi="en-US"/>
              </w:rPr>
              <w:t>3</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348</w:t>
            </w:r>
            <w:r>
              <w:rPr>
                <w:rFonts w:hint="eastAsia"/>
                <w:color w:val="000000"/>
                <w:kern w:val="0"/>
                <w:szCs w:val="21"/>
                <w:lang w:eastAsia="zh-CN" w:bidi="en-US"/>
              </w:rPr>
              <w:t>.</w:t>
            </w:r>
            <w:r>
              <w:rPr>
                <w:color w:val="000000"/>
                <w:kern w:val="0"/>
                <w:szCs w:val="21"/>
                <w:lang w:bidi="en-US"/>
              </w:rPr>
              <w:t>03</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11 940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IIS9-C03</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定制样品（XPS）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8 843</w:t>
            </w:r>
            <w:r>
              <w:rPr>
                <w:rFonts w:hint="eastAsia"/>
                <w:color w:val="000000"/>
                <w:kern w:val="0"/>
                <w:szCs w:val="21"/>
                <w:lang w:eastAsia="zh-CN" w:bidi="en-US"/>
              </w:rPr>
              <w:t>.</w:t>
            </w:r>
            <w:r>
              <w:rPr>
                <w:color w:val="000000"/>
                <w:kern w:val="0"/>
                <w:szCs w:val="21"/>
                <w:lang w:bidi="en-US"/>
              </w:rPr>
              <w:t>0</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347</w:t>
            </w:r>
            <w:r>
              <w:rPr>
                <w:rFonts w:hint="eastAsia"/>
                <w:color w:val="000000"/>
                <w:kern w:val="0"/>
                <w:szCs w:val="21"/>
                <w:lang w:eastAsia="zh-CN" w:bidi="en-US"/>
              </w:rPr>
              <w:t>.</w:t>
            </w:r>
            <w:r>
              <w:rPr>
                <w:color w:val="000000"/>
                <w:kern w:val="0"/>
                <w:szCs w:val="21"/>
                <w:lang w:bidi="en-US"/>
              </w:rPr>
              <w:t>74</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10 220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IIS9-D04</w:t>
            </w:r>
          </w:p>
        </w:tc>
        <w:tc>
          <w:tcPr>
            <w:tcW w:w="267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定制样品（ABS）</w:t>
            </w:r>
          </w:p>
        </w:tc>
        <w:tc>
          <w:tcPr>
            <w:tcW w:w="1904"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677</w:t>
            </w:r>
            <w:r>
              <w:rPr>
                <w:rFonts w:hint="eastAsia"/>
                <w:color w:val="000000"/>
                <w:kern w:val="0"/>
                <w:szCs w:val="21"/>
                <w:lang w:eastAsia="zh-CN" w:bidi="en-US"/>
              </w:rPr>
              <w:t>.</w:t>
            </w:r>
            <w:r>
              <w:rPr>
                <w:color w:val="000000"/>
                <w:kern w:val="0"/>
                <w:szCs w:val="21"/>
                <w:lang w:bidi="en-US"/>
              </w:rPr>
              <w:t>6</w:t>
            </w:r>
          </w:p>
        </w:tc>
        <w:tc>
          <w:tcPr>
            <w:tcW w:w="1619"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320</w:t>
            </w:r>
            <w:r>
              <w:rPr>
                <w:rFonts w:hint="eastAsia"/>
                <w:color w:val="000000"/>
                <w:kern w:val="0"/>
                <w:szCs w:val="21"/>
                <w:lang w:eastAsia="zh-CN" w:bidi="en-US"/>
              </w:rPr>
              <w:t>.</w:t>
            </w:r>
            <w:r>
              <w:rPr>
                <w:color w:val="000000"/>
                <w:kern w:val="0"/>
                <w:szCs w:val="21"/>
                <w:lang w:bidi="en-US"/>
              </w:rPr>
              <w:t>32</w:t>
            </w:r>
          </w:p>
        </w:tc>
        <w:tc>
          <w:tcPr>
            <w:tcW w:w="1635" w:type="dxa"/>
            <w:tcBorders>
              <w:top w:val="single" w:color="auto" w:sz="4" w:space="0"/>
              <w:left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1 000</w:t>
            </w:r>
          </w:p>
        </w:tc>
      </w:tr>
      <w:tr>
        <w:tblPrEx>
          <w:tblCellMar>
            <w:top w:w="0" w:type="dxa"/>
            <w:left w:w="57" w:type="dxa"/>
            <w:bottom w:w="0" w:type="dxa"/>
            <w:right w:w="57" w:type="dxa"/>
          </w:tblCellMar>
        </w:tblPrEx>
        <w:trPr>
          <w:trHeight w:val="454" w:hRule="atLeast"/>
        </w:trPr>
        <w:tc>
          <w:tcPr>
            <w:tcW w:w="1635"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IIS9-E05</w:t>
            </w:r>
          </w:p>
        </w:tc>
        <w:tc>
          <w:tcPr>
            <w:tcW w:w="2675"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定制样品（ABS）</w:t>
            </w:r>
          </w:p>
        </w:tc>
        <w:tc>
          <w:tcPr>
            <w:tcW w:w="1904"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5 795</w:t>
            </w:r>
            <w:r>
              <w:rPr>
                <w:rFonts w:hint="eastAsia"/>
                <w:color w:val="000000"/>
                <w:kern w:val="0"/>
                <w:szCs w:val="21"/>
                <w:lang w:eastAsia="zh-CN" w:bidi="en-US"/>
              </w:rPr>
              <w:t>.</w:t>
            </w:r>
            <w:r>
              <w:rPr>
                <w:color w:val="000000"/>
                <w:kern w:val="0"/>
                <w:szCs w:val="21"/>
                <w:lang w:bidi="en-US"/>
              </w:rPr>
              <w:t>0</w:t>
            </w:r>
          </w:p>
        </w:tc>
        <w:tc>
          <w:tcPr>
            <w:tcW w:w="1619" w:type="dxa"/>
            <w:tcBorders>
              <w:top w:val="single" w:color="auto" w:sz="4" w:space="0"/>
              <w:left w:val="single" w:color="auto" w:sz="4" w:space="0"/>
              <w:bottom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2 752</w:t>
            </w:r>
            <w:r>
              <w:rPr>
                <w:rFonts w:hint="eastAsia"/>
                <w:color w:val="000000"/>
                <w:kern w:val="0"/>
                <w:szCs w:val="21"/>
                <w:lang w:eastAsia="zh-CN" w:bidi="en-US"/>
              </w:rPr>
              <w:t>.</w:t>
            </w:r>
            <w:r>
              <w:rPr>
                <w:color w:val="000000"/>
                <w:kern w:val="0"/>
                <w:szCs w:val="21"/>
                <w:lang w:bidi="en-US"/>
              </w:rPr>
              <w:t>00</w:t>
            </w:r>
          </w:p>
        </w:tc>
        <w:tc>
          <w:tcPr>
            <w:tcW w:w="16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10 000</w:t>
            </w:r>
          </w:p>
        </w:tc>
      </w:tr>
    </w:tbl>
    <w:p>
      <w:pPr>
        <w:spacing w:before="156" w:beforeLines="50" w:after="156" w:afterLines="50"/>
        <w:jc w:val="center"/>
        <w:rPr>
          <w:b/>
          <w:bCs/>
          <w:szCs w:val="21"/>
        </w:rPr>
      </w:pPr>
      <w:bookmarkStart w:id="54" w:name="bookmark48"/>
      <w:r>
        <w:rPr>
          <w:b/>
          <w:bCs/>
          <w:szCs w:val="21"/>
        </w:rPr>
        <w:t>表C.4</w:t>
      </w:r>
      <w:r>
        <w:rPr>
          <w:rFonts w:hint="eastAsia"/>
          <w:b/>
          <w:bCs/>
          <w:szCs w:val="21"/>
          <w:lang w:val="en-US" w:eastAsia="zh-CN"/>
        </w:rPr>
        <w:t xml:space="preserve"> </w:t>
      </w:r>
      <w:r>
        <w:rPr>
          <w:b/>
          <w:bCs/>
          <w:szCs w:val="21"/>
        </w:rPr>
        <w:t>HPLC-MS的统计数据</w:t>
      </w:r>
      <w:bookmarkEnd w:id="54"/>
    </w:p>
    <w:tbl>
      <w:tblPr>
        <w:tblStyle w:val="37"/>
        <w:tblW w:w="9468" w:type="dxa"/>
        <w:tblInd w:w="0" w:type="dxa"/>
        <w:tblLayout w:type="fixed"/>
        <w:tblCellMar>
          <w:top w:w="0" w:type="dxa"/>
          <w:left w:w="57" w:type="dxa"/>
          <w:bottom w:w="0" w:type="dxa"/>
          <w:right w:w="57" w:type="dxa"/>
        </w:tblCellMar>
      </w:tblPr>
      <w:tblGrid>
        <w:gridCol w:w="1063"/>
        <w:gridCol w:w="1050"/>
        <w:gridCol w:w="1050"/>
        <w:gridCol w:w="1055"/>
        <w:gridCol w:w="1055"/>
        <w:gridCol w:w="1050"/>
        <w:gridCol w:w="2085"/>
        <w:gridCol w:w="1060"/>
      </w:tblGrid>
      <w:tr>
        <w:tblPrEx>
          <w:tblCellMar>
            <w:top w:w="0" w:type="dxa"/>
            <w:left w:w="57" w:type="dxa"/>
            <w:bottom w:w="0" w:type="dxa"/>
            <w:right w:w="57" w:type="dxa"/>
          </w:tblCellMar>
        </w:tblPrEx>
        <w:trPr>
          <w:trHeight w:val="625" w:hRule="atLeast"/>
        </w:trPr>
        <w:tc>
          <w:tcPr>
            <w:tcW w:w="1063"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样品</w:t>
            </w:r>
          </w:p>
        </w:tc>
        <w:tc>
          <w:tcPr>
            <w:tcW w:w="1050" w:type="dxa"/>
            <w:tcBorders>
              <w:top w:val="single" w:color="auto" w:sz="4" w:space="0"/>
              <w:lef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m</w:t>
            </w:r>
          </w:p>
          <w:p>
            <w:pPr>
              <w:jc w:val="center"/>
              <w:rPr>
                <w:color w:val="000000"/>
                <w:kern w:val="0"/>
                <w:szCs w:val="21"/>
                <w:lang w:bidi="en-US"/>
              </w:rPr>
            </w:pPr>
            <w:r>
              <w:rPr>
                <w:color w:val="000000"/>
                <w:kern w:val="0"/>
                <w:szCs w:val="21"/>
                <w:lang w:bidi="en-US"/>
              </w:rPr>
              <w:t>mg/kg</w:t>
            </w:r>
          </w:p>
        </w:tc>
        <w:tc>
          <w:tcPr>
            <w:tcW w:w="1050"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ν</w:t>
            </w:r>
          </w:p>
          <w:p>
            <w:pPr>
              <w:jc w:val="center"/>
              <w:rPr>
                <w:color w:val="000000"/>
                <w:kern w:val="0"/>
                <w:szCs w:val="21"/>
                <w:lang w:bidi="en-US"/>
              </w:rPr>
            </w:pPr>
            <w:r>
              <w:rPr>
                <w:color w:val="000000"/>
                <w:kern w:val="0"/>
                <w:szCs w:val="21"/>
                <w:lang w:bidi="en-US"/>
              </w:rPr>
              <w:t>mg/kg</w:t>
            </w:r>
          </w:p>
        </w:tc>
        <w:tc>
          <w:tcPr>
            <w:tcW w:w="1055" w:type="dxa"/>
            <w:tcBorders>
              <w:top w:val="single" w:color="auto" w:sz="4" w:space="0"/>
              <w:lef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N</w:t>
            </w:r>
          </w:p>
        </w:tc>
        <w:tc>
          <w:tcPr>
            <w:tcW w:w="1055" w:type="dxa"/>
            <w:tcBorders>
              <w:top w:val="single" w:color="auto" w:sz="4" w:space="0"/>
              <w:left w:val="single" w:color="auto" w:sz="4" w:space="0"/>
            </w:tcBorders>
            <w:shd w:val="clear" w:color="auto" w:fill="FFFFFF"/>
            <w:vAlign w:val="center"/>
          </w:tcPr>
          <w:p>
            <w:pPr>
              <w:jc w:val="center"/>
              <w:rPr>
                <w:color w:val="000000"/>
                <w:kern w:val="0"/>
                <w:szCs w:val="21"/>
                <w:lang w:bidi="en-US"/>
              </w:rPr>
            </w:pPr>
            <w:r>
              <w:rPr>
                <w:color w:val="000000"/>
                <w:kern w:val="0"/>
                <w:szCs w:val="21"/>
                <w:lang w:bidi="en-US"/>
              </w:rPr>
              <w:t>s(r)</w:t>
            </w:r>
          </w:p>
          <w:p>
            <w:pPr>
              <w:jc w:val="center"/>
              <w:rPr>
                <w:color w:val="000000"/>
                <w:kern w:val="0"/>
                <w:szCs w:val="21"/>
                <w:lang w:bidi="en-US"/>
              </w:rPr>
            </w:pPr>
            <w:r>
              <w:rPr>
                <w:color w:val="000000"/>
                <w:kern w:val="0"/>
                <w:szCs w:val="21"/>
                <w:lang w:bidi="en-US"/>
              </w:rPr>
              <w:t>mg/kg</w:t>
            </w:r>
          </w:p>
        </w:tc>
        <w:tc>
          <w:tcPr>
            <w:tcW w:w="1050" w:type="dxa"/>
            <w:tcBorders>
              <w:top w:val="single" w:color="auto" w:sz="4" w:space="0"/>
              <w:lef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r</w:t>
            </w:r>
          </w:p>
          <w:p>
            <w:pPr>
              <w:jc w:val="center"/>
              <w:rPr>
                <w:color w:val="000000"/>
                <w:kern w:val="0"/>
                <w:szCs w:val="21"/>
                <w:lang w:bidi="en-US"/>
              </w:rPr>
            </w:pPr>
            <w:r>
              <w:rPr>
                <w:color w:val="000000"/>
                <w:kern w:val="0"/>
                <w:szCs w:val="21"/>
                <w:lang w:bidi="en-US"/>
              </w:rPr>
              <w:t>mg/kg</w:t>
            </w:r>
          </w:p>
        </w:tc>
        <w:tc>
          <w:tcPr>
            <w:tcW w:w="2085" w:type="dxa"/>
            <w:tcBorders>
              <w:top w:val="single" w:color="auto" w:sz="4" w:space="0"/>
              <w:lef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s(R)</w:t>
            </w:r>
          </w:p>
          <w:p>
            <w:pPr>
              <w:jc w:val="center"/>
              <w:rPr>
                <w:color w:val="000000"/>
                <w:kern w:val="0"/>
                <w:szCs w:val="21"/>
                <w:lang w:bidi="en-US"/>
              </w:rPr>
            </w:pPr>
            <w:r>
              <w:rPr>
                <w:color w:val="000000"/>
                <w:kern w:val="0"/>
                <w:szCs w:val="21"/>
                <w:lang w:bidi="en-US"/>
              </w:rPr>
              <w:t>mg/kg</w:t>
            </w:r>
          </w:p>
        </w:tc>
        <w:tc>
          <w:tcPr>
            <w:tcW w:w="1060" w:type="dxa"/>
            <w:tcBorders>
              <w:top w:val="single" w:color="auto" w:sz="4" w:space="0"/>
              <w:left w:val="single" w:color="auto" w:sz="4" w:space="0"/>
              <w:right w:val="single" w:color="auto" w:sz="4" w:space="0"/>
            </w:tcBorders>
            <w:shd w:val="clear" w:color="auto" w:fill="FFFFFF"/>
            <w:vAlign w:val="center"/>
          </w:tcPr>
          <w:p>
            <w:pPr>
              <w:jc w:val="center"/>
              <w:rPr>
                <w:i/>
                <w:iCs/>
                <w:color w:val="000000"/>
                <w:kern w:val="0"/>
                <w:szCs w:val="21"/>
                <w:lang w:bidi="en-US"/>
              </w:rPr>
            </w:pPr>
            <w:r>
              <w:rPr>
                <w:i/>
                <w:iCs/>
                <w:color w:val="000000"/>
                <w:kern w:val="0"/>
                <w:szCs w:val="21"/>
                <w:lang w:bidi="en-US"/>
              </w:rPr>
              <w:t>R</w:t>
            </w:r>
          </w:p>
          <w:p>
            <w:pPr>
              <w:jc w:val="center"/>
              <w:rPr>
                <w:color w:val="000000"/>
                <w:kern w:val="0"/>
                <w:szCs w:val="21"/>
                <w:lang w:bidi="en-US"/>
              </w:rPr>
            </w:pPr>
            <w:r>
              <w:rPr>
                <w:color w:val="000000"/>
                <w:kern w:val="0"/>
                <w:szCs w:val="21"/>
                <w:lang w:bidi="en-US"/>
              </w:rPr>
              <w:t>mg/kg</w:t>
            </w:r>
          </w:p>
        </w:tc>
      </w:tr>
      <w:tr>
        <w:tblPrEx>
          <w:tblCellMar>
            <w:top w:w="0" w:type="dxa"/>
            <w:left w:w="57" w:type="dxa"/>
            <w:bottom w:w="0" w:type="dxa"/>
            <w:right w:w="57" w:type="dxa"/>
          </w:tblCellMar>
        </w:tblPrEx>
        <w:trPr>
          <w:trHeight w:val="454" w:hRule="atLeast"/>
        </w:trPr>
        <w:tc>
          <w:tcPr>
            <w:tcW w:w="1063"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IIS9-A01</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5 435</w:t>
            </w:r>
            <w:r>
              <w:rPr>
                <w:rFonts w:hint="eastAsia"/>
                <w:color w:val="000000"/>
                <w:kern w:val="0"/>
                <w:sz w:val="18"/>
                <w:szCs w:val="18"/>
                <w:lang w:eastAsia="zh-CN" w:bidi="en-US"/>
              </w:rPr>
              <w:t>.</w:t>
            </w:r>
            <w:r>
              <w:rPr>
                <w:color w:val="000000"/>
                <w:kern w:val="0"/>
                <w:sz w:val="18"/>
                <w:szCs w:val="18"/>
                <w:lang w:bidi="en-US"/>
              </w:rPr>
              <w:t>56</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6 080</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9</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125</w:t>
            </w:r>
            <w:r>
              <w:rPr>
                <w:rFonts w:hint="eastAsia"/>
                <w:color w:val="000000"/>
                <w:kern w:val="0"/>
                <w:sz w:val="18"/>
                <w:szCs w:val="18"/>
                <w:lang w:eastAsia="zh-CN" w:bidi="en-US"/>
              </w:rPr>
              <w:t>.</w:t>
            </w:r>
            <w:r>
              <w:rPr>
                <w:color w:val="000000"/>
                <w:kern w:val="0"/>
                <w:sz w:val="18"/>
                <w:szCs w:val="18"/>
                <w:lang w:bidi="en-US"/>
              </w:rPr>
              <w:t>7</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351</w:t>
            </w:r>
            <w:r>
              <w:rPr>
                <w:rFonts w:hint="eastAsia"/>
                <w:color w:val="000000"/>
                <w:kern w:val="0"/>
                <w:sz w:val="18"/>
                <w:szCs w:val="18"/>
                <w:lang w:eastAsia="zh-CN" w:bidi="en-US"/>
              </w:rPr>
              <w:t>.</w:t>
            </w:r>
            <w:r>
              <w:rPr>
                <w:color w:val="000000"/>
                <w:kern w:val="0"/>
                <w:sz w:val="18"/>
                <w:szCs w:val="18"/>
                <w:lang w:bidi="en-US"/>
              </w:rPr>
              <w:t>82</w:t>
            </w:r>
          </w:p>
        </w:tc>
        <w:tc>
          <w:tcPr>
            <w:tcW w:w="208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176</w:t>
            </w:r>
            <w:r>
              <w:rPr>
                <w:rFonts w:hint="eastAsia"/>
                <w:color w:val="000000"/>
                <w:kern w:val="0"/>
                <w:sz w:val="18"/>
                <w:szCs w:val="18"/>
                <w:lang w:eastAsia="zh-CN" w:bidi="en-US"/>
              </w:rPr>
              <w:t>.</w:t>
            </w:r>
            <w:r>
              <w:rPr>
                <w:color w:val="000000"/>
                <w:kern w:val="0"/>
                <w:sz w:val="18"/>
                <w:szCs w:val="18"/>
                <w:lang w:bidi="en-US"/>
              </w:rPr>
              <w:t>99</w:t>
            </w:r>
          </w:p>
        </w:tc>
        <w:tc>
          <w:tcPr>
            <w:tcW w:w="106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495</w:t>
            </w:r>
            <w:r>
              <w:rPr>
                <w:rFonts w:hint="eastAsia"/>
                <w:color w:val="000000"/>
                <w:kern w:val="0"/>
                <w:sz w:val="18"/>
                <w:szCs w:val="18"/>
                <w:lang w:eastAsia="zh-CN" w:bidi="en-US"/>
              </w:rPr>
              <w:t>.</w:t>
            </w:r>
            <w:r>
              <w:rPr>
                <w:color w:val="000000"/>
                <w:kern w:val="0"/>
                <w:sz w:val="18"/>
                <w:szCs w:val="18"/>
                <w:lang w:bidi="en-US"/>
              </w:rPr>
              <w:t>57</w:t>
            </w:r>
          </w:p>
        </w:tc>
      </w:tr>
      <w:tr>
        <w:tblPrEx>
          <w:tblCellMar>
            <w:top w:w="0" w:type="dxa"/>
            <w:left w:w="57" w:type="dxa"/>
            <w:bottom w:w="0" w:type="dxa"/>
            <w:right w:w="57" w:type="dxa"/>
          </w:tblCellMar>
        </w:tblPrEx>
        <w:trPr>
          <w:trHeight w:val="454" w:hRule="atLeast"/>
        </w:trPr>
        <w:tc>
          <w:tcPr>
            <w:tcW w:w="1063"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IIS9-B02</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11 073</w:t>
            </w:r>
            <w:r>
              <w:rPr>
                <w:rFonts w:hint="eastAsia"/>
                <w:color w:val="000000"/>
                <w:kern w:val="0"/>
                <w:sz w:val="18"/>
                <w:szCs w:val="18"/>
                <w:lang w:eastAsia="zh-CN" w:bidi="en-US"/>
              </w:rPr>
              <w:t>.</w:t>
            </w:r>
            <w:r>
              <w:rPr>
                <w:color w:val="000000"/>
                <w:kern w:val="0"/>
                <w:sz w:val="18"/>
                <w:szCs w:val="18"/>
                <w:lang w:bidi="en-US"/>
              </w:rPr>
              <w:t>33</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11 940</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6</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346</w:t>
            </w:r>
            <w:r>
              <w:rPr>
                <w:rFonts w:hint="eastAsia"/>
                <w:color w:val="000000"/>
                <w:kern w:val="0"/>
                <w:sz w:val="18"/>
                <w:szCs w:val="18"/>
                <w:lang w:eastAsia="zh-CN" w:bidi="en-US"/>
              </w:rPr>
              <w:t>.</w:t>
            </w:r>
            <w:r>
              <w:rPr>
                <w:color w:val="000000"/>
                <w:kern w:val="0"/>
                <w:sz w:val="18"/>
                <w:szCs w:val="18"/>
                <w:lang w:bidi="en-US"/>
              </w:rPr>
              <w:t>2</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969</w:t>
            </w:r>
            <w:r>
              <w:rPr>
                <w:rFonts w:hint="eastAsia"/>
                <w:color w:val="000000"/>
                <w:kern w:val="0"/>
                <w:sz w:val="18"/>
                <w:szCs w:val="18"/>
                <w:lang w:eastAsia="zh-CN" w:bidi="en-US"/>
              </w:rPr>
              <w:t>.</w:t>
            </w:r>
            <w:r>
              <w:rPr>
                <w:color w:val="000000"/>
                <w:kern w:val="0"/>
                <w:sz w:val="18"/>
                <w:szCs w:val="18"/>
                <w:lang w:bidi="en-US"/>
              </w:rPr>
              <w:t>43</w:t>
            </w:r>
          </w:p>
        </w:tc>
        <w:tc>
          <w:tcPr>
            <w:tcW w:w="208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349</w:t>
            </w:r>
            <w:r>
              <w:rPr>
                <w:rFonts w:hint="eastAsia"/>
                <w:color w:val="000000"/>
                <w:kern w:val="0"/>
                <w:sz w:val="18"/>
                <w:szCs w:val="18"/>
                <w:lang w:eastAsia="zh-CN" w:bidi="en-US"/>
              </w:rPr>
              <w:t>.</w:t>
            </w:r>
            <w:r>
              <w:rPr>
                <w:color w:val="000000"/>
                <w:kern w:val="0"/>
                <w:sz w:val="18"/>
                <w:szCs w:val="18"/>
                <w:lang w:bidi="en-US"/>
              </w:rPr>
              <w:t>23</w:t>
            </w:r>
          </w:p>
        </w:tc>
        <w:tc>
          <w:tcPr>
            <w:tcW w:w="106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977</w:t>
            </w:r>
            <w:r>
              <w:rPr>
                <w:rFonts w:hint="eastAsia"/>
                <w:color w:val="000000"/>
                <w:kern w:val="0"/>
                <w:sz w:val="18"/>
                <w:szCs w:val="18"/>
                <w:lang w:eastAsia="zh-CN" w:bidi="en-US"/>
              </w:rPr>
              <w:t>.</w:t>
            </w:r>
            <w:r>
              <w:rPr>
                <w:color w:val="000000"/>
                <w:kern w:val="0"/>
                <w:sz w:val="18"/>
                <w:szCs w:val="18"/>
                <w:lang w:bidi="en-US"/>
              </w:rPr>
              <w:t>85</w:t>
            </w:r>
          </w:p>
        </w:tc>
      </w:tr>
      <w:tr>
        <w:tblPrEx>
          <w:tblCellMar>
            <w:top w:w="0" w:type="dxa"/>
            <w:left w:w="57" w:type="dxa"/>
            <w:bottom w:w="0" w:type="dxa"/>
            <w:right w:w="57" w:type="dxa"/>
          </w:tblCellMar>
        </w:tblPrEx>
        <w:trPr>
          <w:trHeight w:val="454" w:hRule="atLeast"/>
        </w:trPr>
        <w:tc>
          <w:tcPr>
            <w:tcW w:w="1063"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IIS9-C03</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8 843</w:t>
            </w:r>
            <w:r>
              <w:rPr>
                <w:rFonts w:hint="eastAsia"/>
                <w:color w:val="000000"/>
                <w:kern w:val="0"/>
                <w:sz w:val="18"/>
                <w:szCs w:val="18"/>
                <w:lang w:eastAsia="zh-CN" w:bidi="en-US"/>
              </w:rPr>
              <w:t>.</w:t>
            </w:r>
            <w:r>
              <w:rPr>
                <w:color w:val="000000"/>
                <w:kern w:val="0"/>
                <w:sz w:val="18"/>
                <w:szCs w:val="18"/>
                <w:lang w:bidi="en-US"/>
              </w:rPr>
              <w:t>00</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10 220</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6</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241</w:t>
            </w:r>
            <w:r>
              <w:rPr>
                <w:rFonts w:hint="eastAsia"/>
                <w:color w:val="000000"/>
                <w:kern w:val="0"/>
                <w:sz w:val="18"/>
                <w:szCs w:val="18"/>
                <w:lang w:eastAsia="zh-CN" w:bidi="en-US"/>
              </w:rPr>
              <w:t>.</w:t>
            </w:r>
            <w:r>
              <w:rPr>
                <w:color w:val="000000"/>
                <w:kern w:val="0"/>
                <w:sz w:val="18"/>
                <w:szCs w:val="18"/>
                <w:lang w:bidi="en-US"/>
              </w:rPr>
              <w:t>7</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676</w:t>
            </w:r>
            <w:r>
              <w:rPr>
                <w:rFonts w:hint="eastAsia"/>
                <w:color w:val="000000"/>
                <w:kern w:val="0"/>
                <w:sz w:val="18"/>
                <w:szCs w:val="18"/>
                <w:lang w:eastAsia="zh-CN" w:bidi="en-US"/>
              </w:rPr>
              <w:t>.</w:t>
            </w:r>
            <w:r>
              <w:rPr>
                <w:color w:val="000000"/>
                <w:kern w:val="0"/>
                <w:sz w:val="18"/>
                <w:szCs w:val="18"/>
                <w:lang w:bidi="en-US"/>
              </w:rPr>
              <w:t>68</w:t>
            </w:r>
          </w:p>
        </w:tc>
        <w:tc>
          <w:tcPr>
            <w:tcW w:w="208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403</w:t>
            </w:r>
            <w:r>
              <w:rPr>
                <w:rFonts w:hint="eastAsia"/>
                <w:color w:val="000000"/>
                <w:kern w:val="0"/>
                <w:sz w:val="18"/>
                <w:szCs w:val="18"/>
                <w:lang w:eastAsia="zh-CN" w:bidi="en-US"/>
              </w:rPr>
              <w:t>.</w:t>
            </w:r>
            <w:r>
              <w:rPr>
                <w:color w:val="000000"/>
                <w:kern w:val="0"/>
                <w:sz w:val="18"/>
                <w:szCs w:val="18"/>
                <w:lang w:bidi="en-US"/>
              </w:rPr>
              <w:t>24</w:t>
            </w:r>
          </w:p>
        </w:tc>
        <w:tc>
          <w:tcPr>
            <w:tcW w:w="106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1 129</w:t>
            </w:r>
            <w:r>
              <w:rPr>
                <w:rFonts w:hint="eastAsia"/>
                <w:color w:val="000000"/>
                <w:kern w:val="0"/>
                <w:sz w:val="18"/>
                <w:szCs w:val="18"/>
                <w:lang w:eastAsia="zh-CN" w:bidi="en-US"/>
              </w:rPr>
              <w:t>.</w:t>
            </w:r>
            <w:r>
              <w:rPr>
                <w:color w:val="000000"/>
                <w:kern w:val="0"/>
                <w:sz w:val="18"/>
                <w:szCs w:val="18"/>
                <w:lang w:bidi="en-US"/>
              </w:rPr>
              <w:t>09</w:t>
            </w:r>
          </w:p>
        </w:tc>
      </w:tr>
      <w:tr>
        <w:tblPrEx>
          <w:tblCellMar>
            <w:top w:w="0" w:type="dxa"/>
            <w:left w:w="57" w:type="dxa"/>
            <w:bottom w:w="0" w:type="dxa"/>
            <w:right w:w="57" w:type="dxa"/>
          </w:tblCellMar>
        </w:tblPrEx>
        <w:trPr>
          <w:trHeight w:val="454" w:hRule="atLeast"/>
        </w:trPr>
        <w:tc>
          <w:tcPr>
            <w:tcW w:w="1063"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IIS9-D04</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677</w:t>
            </w:r>
            <w:r>
              <w:rPr>
                <w:rFonts w:hint="eastAsia"/>
                <w:color w:val="000000"/>
                <w:kern w:val="0"/>
                <w:sz w:val="18"/>
                <w:szCs w:val="18"/>
                <w:lang w:eastAsia="zh-CN" w:bidi="en-US"/>
              </w:rPr>
              <w:t>.</w:t>
            </w:r>
            <w:r>
              <w:rPr>
                <w:color w:val="000000"/>
                <w:kern w:val="0"/>
                <w:sz w:val="18"/>
                <w:szCs w:val="18"/>
                <w:lang w:bidi="en-US"/>
              </w:rPr>
              <w:t>60</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1 000</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5</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15</w:t>
            </w:r>
            <w:r>
              <w:rPr>
                <w:rFonts w:hint="eastAsia"/>
                <w:color w:val="000000"/>
                <w:kern w:val="0"/>
                <w:sz w:val="18"/>
                <w:szCs w:val="18"/>
                <w:lang w:eastAsia="zh-CN" w:bidi="en-US"/>
              </w:rPr>
              <w:t>.</w:t>
            </w:r>
            <w:r>
              <w:rPr>
                <w:color w:val="000000"/>
                <w:kern w:val="0"/>
                <w:sz w:val="18"/>
                <w:szCs w:val="18"/>
                <w:lang w:bidi="en-US"/>
              </w:rPr>
              <w:t>2</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42</w:t>
            </w:r>
            <w:r>
              <w:rPr>
                <w:rFonts w:hint="eastAsia"/>
                <w:color w:val="000000"/>
                <w:kern w:val="0"/>
                <w:sz w:val="18"/>
                <w:szCs w:val="18"/>
                <w:lang w:eastAsia="zh-CN" w:bidi="en-US"/>
              </w:rPr>
              <w:t>.</w:t>
            </w:r>
            <w:r>
              <w:rPr>
                <w:color w:val="000000"/>
                <w:kern w:val="0"/>
                <w:sz w:val="18"/>
                <w:szCs w:val="18"/>
                <w:lang w:bidi="en-US"/>
              </w:rPr>
              <w:t>48</w:t>
            </w:r>
          </w:p>
        </w:tc>
        <w:tc>
          <w:tcPr>
            <w:tcW w:w="208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413</w:t>
            </w:r>
            <w:r>
              <w:rPr>
                <w:rFonts w:hint="eastAsia"/>
                <w:color w:val="000000"/>
                <w:kern w:val="0"/>
                <w:sz w:val="18"/>
                <w:szCs w:val="18"/>
                <w:lang w:eastAsia="zh-CN" w:bidi="en-US"/>
              </w:rPr>
              <w:t>.</w:t>
            </w:r>
            <w:r>
              <w:rPr>
                <w:color w:val="000000"/>
                <w:kern w:val="0"/>
                <w:sz w:val="18"/>
                <w:szCs w:val="18"/>
                <w:lang w:bidi="en-US"/>
              </w:rPr>
              <w:t>35</w:t>
            </w:r>
          </w:p>
        </w:tc>
        <w:tc>
          <w:tcPr>
            <w:tcW w:w="106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1 157</w:t>
            </w:r>
            <w:r>
              <w:rPr>
                <w:rFonts w:hint="eastAsia"/>
                <w:color w:val="000000"/>
                <w:kern w:val="0"/>
                <w:sz w:val="18"/>
                <w:szCs w:val="18"/>
                <w:lang w:eastAsia="zh-CN" w:bidi="en-US"/>
              </w:rPr>
              <w:t>.</w:t>
            </w:r>
            <w:r>
              <w:rPr>
                <w:color w:val="000000"/>
                <w:kern w:val="0"/>
                <w:sz w:val="18"/>
                <w:szCs w:val="18"/>
                <w:lang w:bidi="en-US"/>
              </w:rPr>
              <w:t>38</w:t>
            </w:r>
          </w:p>
        </w:tc>
      </w:tr>
      <w:tr>
        <w:tblPrEx>
          <w:tblCellMar>
            <w:top w:w="0" w:type="dxa"/>
            <w:left w:w="57" w:type="dxa"/>
            <w:bottom w:w="0" w:type="dxa"/>
            <w:right w:w="57" w:type="dxa"/>
          </w:tblCellMar>
        </w:tblPrEx>
        <w:trPr>
          <w:trHeight w:val="454" w:hRule="atLeast"/>
        </w:trPr>
        <w:tc>
          <w:tcPr>
            <w:tcW w:w="1063"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IIS9-E05</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5 795</w:t>
            </w:r>
            <w:r>
              <w:rPr>
                <w:rFonts w:hint="eastAsia"/>
                <w:color w:val="000000"/>
                <w:kern w:val="0"/>
                <w:sz w:val="18"/>
                <w:szCs w:val="18"/>
                <w:lang w:eastAsia="zh-CN" w:bidi="en-US"/>
              </w:rPr>
              <w:t>.</w:t>
            </w:r>
            <w:r>
              <w:rPr>
                <w:color w:val="000000"/>
                <w:kern w:val="0"/>
                <w:sz w:val="18"/>
                <w:szCs w:val="18"/>
                <w:lang w:bidi="en-US"/>
              </w:rPr>
              <w:t>00</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10 000</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5</w:t>
            </w:r>
          </w:p>
        </w:tc>
        <w:tc>
          <w:tcPr>
            <w:tcW w:w="105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105</w:t>
            </w:r>
            <w:r>
              <w:rPr>
                <w:rFonts w:hint="eastAsia"/>
                <w:color w:val="000000"/>
                <w:kern w:val="0"/>
                <w:sz w:val="18"/>
                <w:szCs w:val="18"/>
                <w:lang w:eastAsia="zh-CN" w:bidi="en-US"/>
              </w:rPr>
              <w:t>.</w:t>
            </w:r>
            <w:r>
              <w:rPr>
                <w:color w:val="000000"/>
                <w:kern w:val="0"/>
                <w:sz w:val="18"/>
                <w:szCs w:val="18"/>
                <w:lang w:bidi="en-US"/>
              </w:rPr>
              <w:t>6</w:t>
            </w:r>
          </w:p>
        </w:tc>
        <w:tc>
          <w:tcPr>
            <w:tcW w:w="1050"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295</w:t>
            </w:r>
            <w:r>
              <w:rPr>
                <w:rFonts w:hint="eastAsia"/>
                <w:color w:val="000000"/>
                <w:kern w:val="0"/>
                <w:sz w:val="18"/>
                <w:szCs w:val="18"/>
                <w:lang w:eastAsia="zh-CN" w:bidi="en-US"/>
              </w:rPr>
              <w:t>.</w:t>
            </w:r>
            <w:r>
              <w:rPr>
                <w:color w:val="000000"/>
                <w:kern w:val="0"/>
                <w:sz w:val="18"/>
                <w:szCs w:val="18"/>
                <w:lang w:bidi="en-US"/>
              </w:rPr>
              <w:t>59</w:t>
            </w:r>
          </w:p>
        </w:tc>
        <w:tc>
          <w:tcPr>
            <w:tcW w:w="2085" w:type="dxa"/>
            <w:tcBorders>
              <w:top w:val="single" w:color="auto" w:sz="4" w:space="0"/>
              <w:lef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3 551</w:t>
            </w:r>
            <w:r>
              <w:rPr>
                <w:rFonts w:hint="eastAsia"/>
                <w:color w:val="000000"/>
                <w:kern w:val="0"/>
                <w:sz w:val="18"/>
                <w:szCs w:val="18"/>
                <w:lang w:eastAsia="zh-CN" w:bidi="en-US"/>
              </w:rPr>
              <w:t>.</w:t>
            </w:r>
            <w:r>
              <w:rPr>
                <w:color w:val="000000"/>
                <w:kern w:val="0"/>
                <w:sz w:val="18"/>
                <w:szCs w:val="18"/>
                <w:lang w:bidi="en-US"/>
              </w:rPr>
              <w:t>77</w:t>
            </w:r>
          </w:p>
        </w:tc>
        <w:tc>
          <w:tcPr>
            <w:tcW w:w="1060" w:type="dxa"/>
            <w:tcBorders>
              <w:top w:val="single" w:color="auto" w:sz="4" w:space="0"/>
              <w:left w:val="single" w:color="auto" w:sz="4" w:space="0"/>
              <w:right w:val="single" w:color="auto" w:sz="4" w:space="0"/>
            </w:tcBorders>
            <w:shd w:val="clear" w:color="auto" w:fill="FFFFFF"/>
            <w:vAlign w:val="center"/>
          </w:tcPr>
          <w:p>
            <w:pPr>
              <w:jc w:val="center"/>
              <w:rPr>
                <w:color w:val="000000"/>
                <w:kern w:val="0"/>
                <w:sz w:val="18"/>
                <w:szCs w:val="18"/>
                <w:lang w:bidi="en-US"/>
              </w:rPr>
            </w:pPr>
            <w:r>
              <w:rPr>
                <w:color w:val="000000"/>
                <w:kern w:val="0"/>
                <w:sz w:val="18"/>
                <w:szCs w:val="18"/>
                <w:lang w:bidi="en-US"/>
              </w:rPr>
              <w:t>9 944</w:t>
            </w:r>
            <w:r>
              <w:rPr>
                <w:rFonts w:hint="eastAsia"/>
                <w:color w:val="000000"/>
                <w:kern w:val="0"/>
                <w:sz w:val="18"/>
                <w:szCs w:val="18"/>
                <w:lang w:eastAsia="zh-CN" w:bidi="en-US"/>
              </w:rPr>
              <w:t>.</w:t>
            </w:r>
            <w:r>
              <w:rPr>
                <w:color w:val="000000"/>
                <w:kern w:val="0"/>
                <w:sz w:val="18"/>
                <w:szCs w:val="18"/>
                <w:lang w:bidi="en-US"/>
              </w:rPr>
              <w:t>96</w:t>
            </w:r>
          </w:p>
        </w:tc>
      </w:tr>
      <w:tr>
        <w:tblPrEx>
          <w:tblCellMar>
            <w:top w:w="0" w:type="dxa"/>
            <w:left w:w="57" w:type="dxa"/>
            <w:bottom w:w="0" w:type="dxa"/>
            <w:right w:w="57" w:type="dxa"/>
          </w:tblCellMar>
        </w:tblPrEx>
        <w:tc>
          <w:tcPr>
            <w:tcW w:w="9468" w:type="dxa"/>
            <w:gridSpan w:val="8"/>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kern w:val="0"/>
                <w:szCs w:val="21"/>
                <w:lang w:bidi="en-US"/>
              </w:rPr>
            </w:pPr>
            <w:r>
              <w:rPr>
                <w:color w:val="000000"/>
                <w:kern w:val="0"/>
                <w:szCs w:val="21"/>
                <w:lang w:bidi="en-US"/>
              </w:rPr>
              <w:t>符号说明</w:t>
            </w:r>
          </w:p>
          <w:p>
            <w:pPr>
              <w:tabs>
                <w:tab w:val="left" w:pos="733"/>
              </w:tabs>
              <w:rPr>
                <w:iCs/>
                <w:color w:val="000000"/>
                <w:kern w:val="0"/>
                <w:szCs w:val="21"/>
                <w:lang w:bidi="en-US"/>
              </w:rPr>
            </w:pPr>
            <w:r>
              <w:rPr>
                <w:i/>
                <w:iCs/>
                <w:color w:val="000000"/>
                <w:kern w:val="0"/>
                <w:szCs w:val="21"/>
                <w:lang w:bidi="en-US"/>
              </w:rPr>
              <w:t>m</w:t>
            </w:r>
            <w:r>
              <w:rPr>
                <w:iCs/>
                <w:color w:val="000000"/>
                <w:kern w:val="0"/>
                <w:szCs w:val="21"/>
                <w:lang w:bidi="en-US"/>
              </w:rPr>
              <w:t xml:space="preserve"> </w:t>
            </w:r>
            <w:r>
              <w:rPr>
                <w:iCs/>
                <w:color w:val="000000"/>
                <w:kern w:val="0"/>
                <w:szCs w:val="21"/>
                <w:lang w:bidi="en-US"/>
              </w:rPr>
              <w:tab/>
            </w:r>
            <w:r>
              <w:rPr>
                <w:iCs/>
                <w:color w:val="000000"/>
                <w:kern w:val="0"/>
                <w:szCs w:val="21"/>
                <w:lang w:bidi="en-US"/>
              </w:rPr>
              <w:t xml:space="preserve">检测结果的算术平均值 </w:t>
            </w:r>
          </w:p>
          <w:p>
            <w:pPr>
              <w:tabs>
                <w:tab w:val="left" w:pos="733"/>
              </w:tabs>
              <w:rPr>
                <w:color w:val="000000"/>
                <w:kern w:val="0"/>
                <w:szCs w:val="21"/>
                <w:lang w:bidi="en-US"/>
              </w:rPr>
            </w:pPr>
            <w:r>
              <w:rPr>
                <w:color w:val="000000"/>
                <w:kern w:val="0"/>
                <w:szCs w:val="21"/>
                <w:lang w:bidi="en-US"/>
              </w:rPr>
              <w:t xml:space="preserve">v </w:t>
            </w:r>
            <w:r>
              <w:rPr>
                <w:color w:val="000000"/>
                <w:kern w:val="0"/>
                <w:szCs w:val="21"/>
                <w:lang w:bidi="en-US"/>
              </w:rPr>
              <w:tab/>
            </w:r>
            <w:r>
              <w:rPr>
                <w:color w:val="000000"/>
                <w:kern w:val="0"/>
                <w:szCs w:val="21"/>
                <w:lang w:bidi="en-US"/>
              </w:rPr>
              <w:t xml:space="preserve">预期值 </w:t>
            </w:r>
          </w:p>
          <w:p>
            <w:pPr>
              <w:tabs>
                <w:tab w:val="left" w:pos="733"/>
              </w:tabs>
              <w:rPr>
                <w:iCs/>
                <w:color w:val="000000"/>
                <w:kern w:val="0"/>
                <w:szCs w:val="21"/>
                <w:lang w:bidi="en-US"/>
              </w:rPr>
            </w:pPr>
            <w:r>
              <w:rPr>
                <w:i/>
                <w:iCs/>
                <w:color w:val="000000"/>
                <w:kern w:val="0"/>
                <w:szCs w:val="21"/>
                <w:lang w:bidi="en-US"/>
              </w:rPr>
              <w:t xml:space="preserve">N </w:t>
            </w:r>
            <w:r>
              <w:rPr>
                <w:i/>
                <w:iCs/>
                <w:color w:val="000000"/>
                <w:kern w:val="0"/>
                <w:szCs w:val="21"/>
                <w:lang w:bidi="en-US"/>
              </w:rPr>
              <w:tab/>
            </w:r>
            <w:r>
              <w:rPr>
                <w:iCs/>
                <w:color w:val="000000"/>
                <w:kern w:val="0"/>
                <w:szCs w:val="21"/>
                <w:lang w:bidi="en-US"/>
              </w:rPr>
              <w:t xml:space="preserve">合格结果数量 </w:t>
            </w:r>
          </w:p>
          <w:p>
            <w:pPr>
              <w:tabs>
                <w:tab w:val="left" w:pos="733"/>
              </w:tabs>
              <w:rPr>
                <w:color w:val="000000"/>
                <w:kern w:val="0"/>
                <w:szCs w:val="21"/>
                <w:lang w:bidi="en-US"/>
              </w:rPr>
            </w:pPr>
            <w:r>
              <w:rPr>
                <w:color w:val="000000"/>
                <w:kern w:val="0"/>
                <w:szCs w:val="21"/>
                <w:lang w:bidi="en-US"/>
              </w:rPr>
              <w:t>s（r）</w:t>
            </w:r>
            <w:r>
              <w:rPr>
                <w:rFonts w:hint="eastAsia"/>
                <w:color w:val="000000"/>
                <w:kern w:val="0"/>
                <w:szCs w:val="21"/>
                <w:lang w:bidi="en-US"/>
              </w:rPr>
              <w:tab/>
            </w:r>
            <w:r>
              <w:rPr>
                <w:color w:val="000000"/>
                <w:kern w:val="0"/>
                <w:szCs w:val="21"/>
                <w:lang w:bidi="en-US"/>
              </w:rPr>
              <w:t xml:space="preserve">重复性标准偏差 </w:t>
            </w:r>
          </w:p>
          <w:p>
            <w:pPr>
              <w:tabs>
                <w:tab w:val="left" w:pos="733"/>
              </w:tabs>
              <w:rPr>
                <w:iCs/>
                <w:color w:val="000000"/>
                <w:kern w:val="0"/>
                <w:szCs w:val="21"/>
                <w:lang w:bidi="en-US"/>
              </w:rPr>
            </w:pPr>
            <w:r>
              <w:rPr>
                <w:i/>
                <w:iCs/>
                <w:color w:val="000000"/>
                <w:kern w:val="0"/>
                <w:szCs w:val="21"/>
                <w:lang w:bidi="en-US"/>
              </w:rPr>
              <w:t xml:space="preserve">r </w:t>
            </w:r>
            <w:r>
              <w:rPr>
                <w:i/>
                <w:iCs/>
                <w:color w:val="000000"/>
                <w:kern w:val="0"/>
                <w:szCs w:val="21"/>
                <w:lang w:bidi="en-US"/>
              </w:rPr>
              <w:tab/>
            </w:r>
            <w:r>
              <w:rPr>
                <w:iCs/>
                <w:color w:val="000000"/>
                <w:kern w:val="0"/>
                <w:szCs w:val="21"/>
                <w:lang w:bidi="en-US"/>
              </w:rPr>
              <w:t xml:space="preserve">再现性限 </w:t>
            </w:r>
          </w:p>
          <w:p>
            <w:pPr>
              <w:tabs>
                <w:tab w:val="left" w:pos="733"/>
              </w:tabs>
              <w:rPr>
                <w:iCs/>
                <w:color w:val="000000"/>
                <w:kern w:val="0"/>
                <w:szCs w:val="21"/>
                <w:lang w:bidi="en-US"/>
              </w:rPr>
            </w:pPr>
            <w:r>
              <w:rPr>
                <w:i/>
                <w:iCs/>
                <w:color w:val="000000"/>
                <w:kern w:val="0"/>
                <w:szCs w:val="21"/>
                <w:lang w:bidi="en-US"/>
              </w:rPr>
              <w:t xml:space="preserve">s(R) </w:t>
            </w:r>
            <w:r>
              <w:rPr>
                <w:i/>
                <w:iCs/>
                <w:color w:val="000000"/>
                <w:kern w:val="0"/>
                <w:szCs w:val="21"/>
                <w:lang w:bidi="en-US"/>
              </w:rPr>
              <w:tab/>
            </w:r>
            <w:r>
              <w:rPr>
                <w:iCs/>
                <w:color w:val="000000"/>
                <w:kern w:val="0"/>
                <w:szCs w:val="21"/>
                <w:lang w:bidi="en-US"/>
              </w:rPr>
              <w:t xml:space="preserve">再现性标准偏差 </w:t>
            </w:r>
          </w:p>
          <w:p>
            <w:pPr>
              <w:tabs>
                <w:tab w:val="left" w:pos="733"/>
              </w:tabs>
              <w:rPr>
                <w:iCs/>
                <w:color w:val="000000"/>
                <w:kern w:val="0"/>
                <w:szCs w:val="21"/>
                <w:lang w:bidi="en-US"/>
              </w:rPr>
            </w:pPr>
            <w:r>
              <w:rPr>
                <w:i/>
                <w:iCs/>
                <w:color w:val="000000"/>
                <w:kern w:val="0"/>
                <w:szCs w:val="21"/>
                <w:lang w:bidi="en-US"/>
              </w:rPr>
              <w:t xml:space="preserve">R </w:t>
            </w:r>
            <w:r>
              <w:rPr>
                <w:i/>
                <w:iCs/>
                <w:color w:val="000000"/>
                <w:kern w:val="0"/>
                <w:szCs w:val="21"/>
                <w:lang w:bidi="en-US"/>
              </w:rPr>
              <w:tab/>
            </w:r>
            <w:r>
              <w:rPr>
                <w:iCs/>
                <w:color w:val="000000"/>
                <w:kern w:val="0"/>
                <w:szCs w:val="21"/>
                <w:lang w:bidi="en-US"/>
              </w:rPr>
              <w:t>再现性</w:t>
            </w:r>
            <w:r>
              <w:rPr>
                <w:kern w:val="0"/>
                <w:szCs w:val="21"/>
              </w:rPr>
              <w:t>限</w:t>
            </w:r>
          </w:p>
        </w:tc>
      </w:tr>
    </w:tbl>
    <w:p>
      <w:pPr>
        <w:rPr>
          <w:color w:val="000000"/>
          <w:kern w:val="0"/>
          <w:szCs w:val="21"/>
          <w:lang w:bidi="en-US"/>
        </w:rPr>
      </w:pPr>
      <w:r>
        <w:rPr>
          <w:rFonts w:eastAsia="Microsoft JhengHei Light"/>
          <w:color w:val="000000"/>
          <w:kern w:val="0"/>
          <w:sz w:val="24"/>
          <w:lang w:bidi="en-US"/>
        </w:rPr>
        <w:br w:type="page"/>
      </w:r>
    </w:p>
    <w:p>
      <w:pPr>
        <w:keepNext/>
        <w:pageBreakBefore/>
        <w:widowControl/>
        <w:shd w:val="clear" w:color="FFFFFF" w:fill="FFFFFF"/>
        <w:spacing w:before="640" w:after="200"/>
        <w:jc w:val="center"/>
        <w:outlineLvl w:val="0"/>
        <w:rPr>
          <w:rFonts w:eastAsia="黑体"/>
          <w:kern w:val="0"/>
          <w:szCs w:val="20"/>
        </w:rPr>
      </w:pPr>
      <w:bookmarkStart w:id="55" w:name="bookmark49"/>
      <w:r>
        <w:rPr>
          <w:rFonts w:eastAsia="黑体"/>
          <w:kern w:val="0"/>
          <w:szCs w:val="20"/>
        </w:rPr>
        <w:t>参考文献</w:t>
      </w:r>
      <w:bookmarkEnd w:id="55"/>
    </w:p>
    <w:p>
      <w:pPr>
        <w:ind w:left="482" w:hanging="482"/>
        <w:rPr>
          <w:color w:val="000000"/>
          <w:kern w:val="0"/>
          <w:szCs w:val="21"/>
          <w:highlight w:val="none"/>
          <w:lang w:bidi="en-US"/>
        </w:rPr>
      </w:pPr>
      <w:r>
        <w:rPr>
          <w:rFonts w:hint="eastAsia"/>
          <w:color w:val="000000"/>
          <w:kern w:val="0"/>
          <w:szCs w:val="21"/>
          <w:highlight w:val="none"/>
          <w:lang w:val="en-US" w:eastAsia="zh-CN" w:bidi="en-US"/>
        </w:rPr>
        <w:t xml:space="preserve">    </w:t>
      </w:r>
      <w:r>
        <w:rPr>
          <w:color w:val="000000"/>
          <w:kern w:val="0"/>
          <w:szCs w:val="21"/>
          <w:highlight w:val="none"/>
          <w:lang w:bidi="en-US"/>
        </w:rPr>
        <w:t xml:space="preserve">[1] </w:t>
      </w:r>
      <w:r>
        <w:rPr>
          <w:color w:val="000000"/>
          <w:kern w:val="0"/>
          <w:szCs w:val="21"/>
          <w:highlight w:val="none"/>
          <w:lang w:bidi="en-US"/>
        </w:rPr>
        <w:tab/>
      </w:r>
      <w:r>
        <w:rPr>
          <w:rFonts w:hint="eastAsia"/>
          <w:kern w:val="0"/>
          <w:szCs w:val="21"/>
          <w:highlight w:val="none"/>
          <w:lang w:val="en-US" w:eastAsia="zh-CN"/>
        </w:rPr>
        <w:t>GB/T39560.2</w:t>
      </w:r>
      <w:r>
        <w:rPr>
          <w:color w:val="000000"/>
          <w:kern w:val="0"/>
          <w:szCs w:val="21"/>
          <w:highlight w:val="none"/>
          <w:lang w:bidi="en-US"/>
        </w:rPr>
        <w:t xml:space="preserve"> 电子电气产品中某些物质的测定——第2部分：拆解、拆分和机械制样</w:t>
      </w:r>
    </w:p>
    <w:p>
      <w:pPr>
        <w:ind w:left="482" w:hanging="482"/>
        <w:rPr>
          <w:color w:val="000000"/>
          <w:kern w:val="0"/>
          <w:szCs w:val="21"/>
          <w:highlight w:val="none"/>
          <w:lang w:bidi="en-US"/>
        </w:rPr>
      </w:pPr>
      <w:r>
        <w:rPr>
          <w:rFonts w:hint="eastAsia"/>
          <w:color w:val="000000"/>
          <w:kern w:val="0"/>
          <w:szCs w:val="21"/>
          <w:highlight w:val="none"/>
          <w:lang w:val="en-US" w:eastAsia="zh-CN" w:bidi="en-US"/>
        </w:rPr>
        <w:t xml:space="preserve">    </w:t>
      </w:r>
      <w:r>
        <w:rPr>
          <w:color w:val="000000"/>
          <w:kern w:val="0"/>
          <w:szCs w:val="21"/>
          <w:highlight w:val="none"/>
          <w:lang w:bidi="en-US"/>
        </w:rPr>
        <w:t xml:space="preserve">[2] </w:t>
      </w:r>
      <w:r>
        <w:rPr>
          <w:color w:val="000000"/>
          <w:kern w:val="0"/>
          <w:szCs w:val="21"/>
          <w:highlight w:val="none"/>
          <w:lang w:bidi="en-US"/>
        </w:rPr>
        <w:tab/>
      </w:r>
      <w:r>
        <w:rPr>
          <w:rFonts w:hint="eastAsia"/>
          <w:kern w:val="0"/>
          <w:szCs w:val="21"/>
          <w:highlight w:val="none"/>
          <w:lang w:val="en-US" w:eastAsia="zh-CN"/>
        </w:rPr>
        <w:t>GB/T39560.301</w:t>
      </w:r>
      <w:r>
        <w:rPr>
          <w:color w:val="000000"/>
          <w:kern w:val="0"/>
          <w:szCs w:val="21"/>
          <w:highlight w:val="none"/>
          <w:lang w:bidi="en-US"/>
        </w:rPr>
        <w:t xml:space="preserve"> 电子电气产品中某些物质的测定——第3-1部分：X射线荧光光谱法筛选铅、</w:t>
      </w:r>
    </w:p>
    <w:p>
      <w:pPr>
        <w:ind w:left="482" w:hanging="482"/>
        <w:rPr>
          <w:rFonts w:hint="eastAsia" w:eastAsia="宋体"/>
          <w:color w:val="000000"/>
          <w:kern w:val="0"/>
          <w:szCs w:val="21"/>
          <w:highlight w:val="none"/>
          <w:lang w:val="en-US" w:eastAsia="zh-CN" w:bidi="en-US"/>
        </w:rPr>
      </w:pPr>
      <w:r>
        <w:rPr>
          <w:color w:val="000000"/>
          <w:kern w:val="0"/>
          <w:szCs w:val="21"/>
          <w:highlight w:val="none"/>
          <w:lang w:bidi="en-US"/>
        </w:rPr>
        <w:t>汞、镉、总铬和总溴</w:t>
      </w:r>
    </w:p>
    <w:p>
      <w:pPr>
        <w:ind w:left="482" w:hanging="482"/>
        <w:rPr>
          <w:rFonts w:hint="eastAsia" w:eastAsia="宋体"/>
          <w:color w:val="000000"/>
          <w:kern w:val="0"/>
          <w:szCs w:val="21"/>
          <w:highlight w:val="none"/>
          <w:lang w:val="en-US" w:eastAsia="zh-CN" w:bidi="en-US"/>
        </w:rPr>
      </w:pPr>
      <w:r>
        <w:rPr>
          <w:rFonts w:hint="eastAsia"/>
          <w:color w:val="000000"/>
          <w:kern w:val="0"/>
          <w:szCs w:val="21"/>
          <w:highlight w:val="none"/>
          <w:lang w:val="en-US" w:eastAsia="zh-CN" w:bidi="en-US"/>
        </w:rPr>
        <w:t xml:space="preserve">    </w:t>
      </w:r>
      <w:r>
        <w:rPr>
          <w:color w:val="000000"/>
          <w:kern w:val="0"/>
          <w:szCs w:val="21"/>
          <w:highlight w:val="none"/>
          <w:lang w:bidi="en-US"/>
        </w:rPr>
        <w:t>[</w:t>
      </w:r>
      <w:r>
        <w:rPr>
          <w:rFonts w:hint="eastAsia"/>
          <w:color w:val="000000"/>
          <w:kern w:val="0"/>
          <w:szCs w:val="21"/>
          <w:highlight w:val="none"/>
          <w:lang w:val="en-US" w:eastAsia="zh-CN" w:bidi="en-US"/>
        </w:rPr>
        <w:t>3</w:t>
      </w:r>
      <w:r>
        <w:rPr>
          <w:color w:val="000000"/>
          <w:kern w:val="0"/>
          <w:szCs w:val="21"/>
          <w:highlight w:val="none"/>
          <w:lang w:bidi="en-US"/>
        </w:rPr>
        <w:t xml:space="preserve">] </w:t>
      </w:r>
      <w:r>
        <w:rPr>
          <w:color w:val="000000"/>
          <w:kern w:val="0"/>
          <w:szCs w:val="21"/>
          <w:highlight w:val="none"/>
          <w:lang w:bidi="en-US"/>
        </w:rPr>
        <w:tab/>
      </w:r>
      <w:r>
        <w:rPr>
          <w:color w:val="000000"/>
          <w:kern w:val="0"/>
          <w:szCs w:val="21"/>
          <w:highlight w:val="none"/>
          <w:lang w:bidi="en-US"/>
        </w:rPr>
        <w:t>ISO 3696</w:t>
      </w:r>
      <w:r>
        <w:rPr>
          <w:rFonts w:hint="eastAsia"/>
          <w:color w:val="000000"/>
          <w:kern w:val="0"/>
          <w:szCs w:val="21"/>
          <w:highlight w:val="none"/>
          <w:lang w:val="en-US" w:eastAsia="zh-CN" w:bidi="en-US"/>
        </w:rPr>
        <w:t>,Water for analytical laboratory use -Specification and test methods</w:t>
      </w:r>
    </w:p>
    <w:p>
      <w:pPr>
        <w:ind w:left="482" w:hanging="482"/>
        <w:rPr>
          <w:rFonts w:hint="eastAsia"/>
          <w:color w:val="000000"/>
          <w:kern w:val="0"/>
          <w:szCs w:val="21"/>
          <w:highlight w:val="none"/>
          <w:lang w:val="en-US" w:eastAsia="zh-CN" w:bidi="en-US"/>
        </w:rPr>
      </w:pPr>
      <w:r>
        <w:rPr>
          <w:rFonts w:hint="eastAsia"/>
          <w:color w:val="000000"/>
          <w:kern w:val="0"/>
          <w:szCs w:val="21"/>
          <w:highlight w:val="none"/>
          <w:lang w:val="en-US" w:eastAsia="zh-CN" w:bidi="en-US"/>
        </w:rPr>
        <w:t xml:space="preserve">    </w:t>
      </w:r>
      <w:r>
        <w:rPr>
          <w:color w:val="000000"/>
          <w:kern w:val="0"/>
          <w:szCs w:val="21"/>
          <w:highlight w:val="none"/>
          <w:lang w:bidi="en-US"/>
        </w:rPr>
        <w:t>[</w:t>
      </w:r>
      <w:r>
        <w:rPr>
          <w:rFonts w:hint="eastAsia"/>
          <w:color w:val="000000"/>
          <w:kern w:val="0"/>
          <w:szCs w:val="21"/>
          <w:highlight w:val="none"/>
          <w:lang w:val="en-US" w:eastAsia="zh-CN" w:bidi="en-US"/>
        </w:rPr>
        <w:t>4</w:t>
      </w:r>
      <w:r>
        <w:rPr>
          <w:color w:val="000000"/>
          <w:kern w:val="0"/>
          <w:szCs w:val="21"/>
          <w:highlight w:val="none"/>
          <w:lang w:bidi="en-US"/>
        </w:rPr>
        <w:t xml:space="preserve">] </w:t>
      </w:r>
      <w:r>
        <w:rPr>
          <w:color w:val="000000"/>
          <w:kern w:val="0"/>
          <w:szCs w:val="21"/>
          <w:highlight w:val="none"/>
          <w:lang w:bidi="en-US"/>
        </w:rPr>
        <w:tab/>
      </w:r>
      <w:r>
        <w:rPr>
          <w:color w:val="000000"/>
          <w:kern w:val="0"/>
          <w:szCs w:val="21"/>
          <w:highlight w:val="none"/>
          <w:lang w:bidi="en-US"/>
        </w:rPr>
        <w:t>ISO 5</w:t>
      </w:r>
      <w:r>
        <w:rPr>
          <w:rFonts w:hint="eastAsia"/>
          <w:color w:val="000000"/>
          <w:kern w:val="0"/>
          <w:szCs w:val="21"/>
          <w:highlight w:val="none"/>
          <w:lang w:val="en-US" w:eastAsia="zh-CN" w:bidi="en-US"/>
        </w:rPr>
        <w:t xml:space="preserve">667-1,Water quality-Sampling-Part 1:Guidance on the design of sampling programmes and </w:t>
      </w:r>
    </w:p>
    <w:p>
      <w:pPr>
        <w:ind w:left="482" w:hanging="482"/>
        <w:rPr>
          <w:rFonts w:hint="eastAsia"/>
          <w:color w:val="000000"/>
          <w:kern w:val="0"/>
          <w:szCs w:val="21"/>
          <w:highlight w:val="none"/>
          <w:lang w:val="en-US" w:eastAsia="zh-CN" w:bidi="en-US"/>
        </w:rPr>
      </w:pPr>
      <w:r>
        <w:rPr>
          <w:rFonts w:hint="eastAsia"/>
          <w:color w:val="000000"/>
          <w:kern w:val="0"/>
          <w:szCs w:val="21"/>
          <w:highlight w:val="none"/>
          <w:lang w:val="en-US" w:eastAsia="zh-CN" w:bidi="en-US"/>
        </w:rPr>
        <w:t>sampling techniques</w:t>
      </w:r>
    </w:p>
    <w:p>
      <w:pPr>
        <w:ind w:left="482" w:hanging="482"/>
        <w:rPr>
          <w:rFonts w:hint="eastAsia"/>
          <w:color w:val="000000"/>
          <w:kern w:val="0"/>
          <w:szCs w:val="21"/>
          <w:highlight w:val="none"/>
          <w:lang w:val="en-US" w:eastAsia="zh-CN" w:bidi="en-US"/>
        </w:rPr>
      </w:pPr>
      <w:r>
        <w:rPr>
          <w:rFonts w:hint="eastAsia"/>
          <w:color w:val="000000"/>
          <w:kern w:val="0"/>
          <w:szCs w:val="21"/>
          <w:highlight w:val="none"/>
          <w:lang w:val="en-US" w:eastAsia="zh-CN" w:bidi="en-US"/>
        </w:rPr>
        <w:t xml:space="preserve">    </w:t>
      </w:r>
      <w:r>
        <w:rPr>
          <w:color w:val="000000"/>
          <w:kern w:val="0"/>
          <w:szCs w:val="21"/>
          <w:highlight w:val="none"/>
          <w:lang w:bidi="en-US"/>
        </w:rPr>
        <w:t>[</w:t>
      </w:r>
      <w:r>
        <w:rPr>
          <w:rFonts w:hint="eastAsia"/>
          <w:color w:val="000000"/>
          <w:kern w:val="0"/>
          <w:szCs w:val="21"/>
          <w:highlight w:val="none"/>
          <w:lang w:val="en-US" w:eastAsia="zh-CN" w:bidi="en-US"/>
        </w:rPr>
        <w:t>5</w:t>
      </w:r>
      <w:r>
        <w:rPr>
          <w:color w:val="000000"/>
          <w:kern w:val="0"/>
          <w:szCs w:val="21"/>
          <w:highlight w:val="none"/>
          <w:lang w:bidi="en-US"/>
        </w:rPr>
        <w:t xml:space="preserve">] </w:t>
      </w:r>
      <w:r>
        <w:rPr>
          <w:color w:val="000000"/>
          <w:kern w:val="0"/>
          <w:szCs w:val="21"/>
          <w:highlight w:val="none"/>
          <w:lang w:bidi="en-US"/>
        </w:rPr>
        <w:tab/>
      </w:r>
      <w:r>
        <w:rPr>
          <w:color w:val="000000"/>
          <w:kern w:val="0"/>
          <w:szCs w:val="21"/>
          <w:highlight w:val="none"/>
          <w:lang w:bidi="en-US"/>
        </w:rPr>
        <w:t>ISO 5725-2</w:t>
      </w:r>
      <w:r>
        <w:rPr>
          <w:rFonts w:hint="eastAsia"/>
          <w:color w:val="000000"/>
          <w:kern w:val="0"/>
          <w:szCs w:val="21"/>
          <w:highlight w:val="none"/>
          <w:lang w:val="en-US" w:eastAsia="zh-CN" w:bidi="en-US"/>
        </w:rPr>
        <w:t xml:space="preserve">,Accuracy (trueness and precision)of measurement methods and rsults-Part 2:Basic </w:t>
      </w:r>
    </w:p>
    <w:p>
      <w:pPr>
        <w:ind w:left="482" w:hanging="482"/>
        <w:rPr>
          <w:rFonts w:hint="eastAsia"/>
          <w:color w:val="000000"/>
          <w:kern w:val="0"/>
          <w:szCs w:val="21"/>
          <w:highlight w:val="none"/>
          <w:lang w:val="en-US" w:eastAsia="zh-CN" w:bidi="en-US"/>
        </w:rPr>
      </w:pPr>
      <w:r>
        <w:rPr>
          <w:rFonts w:hint="eastAsia"/>
          <w:color w:val="000000"/>
          <w:kern w:val="0"/>
          <w:szCs w:val="21"/>
          <w:highlight w:val="none"/>
          <w:lang w:val="en-US" w:eastAsia="zh-CN" w:bidi="en-US"/>
        </w:rPr>
        <w:t>method for the determination of repeatability and reproducibility of a standard measurement method</w:t>
      </w:r>
    </w:p>
    <w:p>
      <w:pPr>
        <w:ind w:left="482" w:hanging="482"/>
        <w:rPr>
          <w:rFonts w:hint="eastAsia"/>
          <w:color w:val="000000"/>
          <w:kern w:val="0"/>
          <w:szCs w:val="21"/>
          <w:lang w:val="en-US" w:eastAsia="zh-CN" w:bidi="en-US"/>
        </w:rPr>
      </w:pPr>
      <w:r>
        <w:rPr>
          <w:rFonts w:hint="eastAsia"/>
          <w:color w:val="000000"/>
          <w:kern w:val="0"/>
          <w:szCs w:val="21"/>
          <w:lang w:val="en-US" w:eastAsia="zh-CN" w:bidi="en-US"/>
        </w:rPr>
        <w:t xml:space="preserve">    </w:t>
      </w:r>
      <w:r>
        <w:rPr>
          <w:color w:val="000000"/>
          <w:kern w:val="0"/>
          <w:szCs w:val="21"/>
          <w:lang w:bidi="en-US"/>
        </w:rPr>
        <w:t>[</w:t>
      </w:r>
      <w:r>
        <w:rPr>
          <w:rFonts w:hint="eastAsia"/>
          <w:color w:val="000000"/>
          <w:kern w:val="0"/>
          <w:szCs w:val="21"/>
          <w:lang w:val="en-US" w:eastAsia="zh-CN" w:bidi="en-US"/>
        </w:rPr>
        <w:t>6</w:t>
      </w:r>
      <w:r>
        <w:rPr>
          <w:color w:val="000000"/>
          <w:kern w:val="0"/>
          <w:szCs w:val="21"/>
          <w:lang w:bidi="en-US"/>
        </w:rPr>
        <w:t xml:space="preserve">] </w:t>
      </w:r>
      <w:r>
        <w:rPr>
          <w:color w:val="000000"/>
          <w:kern w:val="0"/>
          <w:szCs w:val="21"/>
          <w:lang w:bidi="en-US"/>
        </w:rPr>
        <w:tab/>
      </w:r>
      <w:r>
        <w:rPr>
          <w:color w:val="000000"/>
          <w:kern w:val="0"/>
          <w:szCs w:val="21"/>
          <w:lang w:bidi="en-US"/>
        </w:rPr>
        <w:t>KS M 1072</w:t>
      </w:r>
      <w:r>
        <w:rPr>
          <w:rFonts w:hint="eastAsia"/>
          <w:color w:val="000000"/>
          <w:kern w:val="0"/>
          <w:szCs w:val="21"/>
          <w:lang w:val="en-US" w:eastAsia="zh-CN" w:bidi="en-US"/>
        </w:rPr>
        <w:t>,Determination of TBBPA (Tetrabromobisphdenol-A) and HBCDD</w:t>
      </w:r>
    </w:p>
    <w:p>
      <w:pPr>
        <w:rPr>
          <w:rFonts w:hint="eastAsia"/>
          <w:color w:val="000000"/>
          <w:kern w:val="0"/>
          <w:szCs w:val="21"/>
          <w:lang w:val="en-US" w:eastAsia="zh-CN" w:bidi="en-US"/>
        </w:rPr>
      </w:pPr>
      <w:r>
        <w:rPr>
          <w:rFonts w:hint="eastAsia"/>
          <w:color w:val="000000"/>
          <w:kern w:val="0"/>
          <w:szCs w:val="21"/>
          <w:lang w:val="en-US" w:eastAsia="zh-CN" w:bidi="en-US"/>
        </w:rPr>
        <w:t>(Hexabromocyclododecan) in polymer materials</w:t>
      </w:r>
    </w:p>
    <w:p>
      <w:pPr>
        <w:ind w:left="482" w:hanging="482"/>
        <w:rPr>
          <w:rFonts w:hint="eastAsia"/>
          <w:color w:val="000000"/>
          <w:kern w:val="0"/>
          <w:szCs w:val="21"/>
          <w:lang w:val="en-US" w:eastAsia="zh-CN" w:bidi="en-US"/>
        </w:rPr>
      </w:pPr>
      <w:r>
        <w:rPr>
          <w:rFonts w:hint="eastAsia"/>
          <w:color w:val="000000"/>
          <w:kern w:val="0"/>
          <w:szCs w:val="21"/>
          <w:lang w:val="en-US" w:eastAsia="zh-CN" w:bidi="en-US"/>
        </w:rPr>
        <w:t xml:space="preserve">    </w:t>
      </w:r>
      <w:r>
        <w:rPr>
          <w:color w:val="000000"/>
          <w:kern w:val="0"/>
          <w:szCs w:val="21"/>
          <w:lang w:bidi="en-US"/>
        </w:rPr>
        <w:t>[</w:t>
      </w:r>
      <w:r>
        <w:rPr>
          <w:rFonts w:hint="eastAsia"/>
          <w:color w:val="000000"/>
          <w:kern w:val="0"/>
          <w:szCs w:val="21"/>
          <w:lang w:val="en-US" w:eastAsia="zh-CN" w:bidi="en-US"/>
        </w:rPr>
        <w:t>7</w:t>
      </w:r>
      <w:r>
        <w:rPr>
          <w:color w:val="000000"/>
          <w:kern w:val="0"/>
          <w:szCs w:val="21"/>
          <w:lang w:bidi="en-US"/>
        </w:rPr>
        <w:t xml:space="preserve">] </w:t>
      </w:r>
      <w:r>
        <w:rPr>
          <w:color w:val="000000"/>
          <w:kern w:val="0"/>
          <w:szCs w:val="21"/>
          <w:lang w:bidi="en-US"/>
        </w:rPr>
        <w:tab/>
      </w:r>
      <w:r>
        <w:rPr>
          <w:color w:val="000000"/>
          <w:kern w:val="0"/>
          <w:szCs w:val="21"/>
          <w:lang w:bidi="en-US"/>
        </w:rPr>
        <w:t>Covaci, Adrian</w:t>
      </w:r>
      <w:r>
        <w:rPr>
          <w:rFonts w:hint="eastAsia"/>
          <w:color w:val="000000"/>
          <w:kern w:val="0"/>
          <w:szCs w:val="21"/>
          <w:lang w:val="en-US" w:eastAsia="zh-CN" w:bidi="en-US"/>
        </w:rPr>
        <w:t xml:space="preserve">,et al. </w:t>
      </w:r>
      <w:r>
        <w:rPr>
          <w:rFonts w:hint="default"/>
          <w:color w:val="000000"/>
          <w:kern w:val="0"/>
          <w:szCs w:val="21"/>
          <w:lang w:val="en-US" w:eastAsia="zh-CN" w:bidi="en-US"/>
        </w:rPr>
        <w:t>“</w:t>
      </w:r>
      <w:r>
        <w:rPr>
          <w:rFonts w:hint="eastAsia"/>
          <w:color w:val="000000"/>
          <w:kern w:val="0"/>
          <w:szCs w:val="21"/>
          <w:lang w:val="en-US" w:eastAsia="zh-CN" w:bidi="en-US"/>
        </w:rPr>
        <w:t xml:space="preserve">Recent developments in the analysis of brominated flame retardnts and </w:t>
      </w:r>
    </w:p>
    <w:p>
      <w:pPr>
        <w:ind w:left="482" w:hanging="482"/>
        <w:rPr>
          <w:color w:val="000000"/>
          <w:kern w:val="0"/>
          <w:szCs w:val="21"/>
          <w:lang w:bidi="en-US"/>
        </w:rPr>
      </w:pPr>
      <w:r>
        <w:rPr>
          <w:rFonts w:hint="eastAsia"/>
          <w:color w:val="000000"/>
          <w:kern w:val="0"/>
          <w:szCs w:val="21"/>
          <w:lang w:val="en-US" w:eastAsia="zh-CN" w:bidi="en-US"/>
        </w:rPr>
        <w:t>rominated natural compounds</w:t>
      </w:r>
      <w:r>
        <w:rPr>
          <w:rFonts w:hint="default"/>
          <w:color w:val="000000"/>
          <w:kern w:val="0"/>
          <w:szCs w:val="21"/>
          <w:lang w:val="en-US" w:eastAsia="zh-CN" w:bidi="en-US"/>
        </w:rPr>
        <w:t>”</w:t>
      </w:r>
      <w:r>
        <w:rPr>
          <w:rFonts w:hint="eastAsia"/>
          <w:color w:val="000000"/>
          <w:kern w:val="0"/>
          <w:szCs w:val="21"/>
          <w:lang w:val="en-US" w:eastAsia="zh-CN" w:bidi="en-US"/>
        </w:rPr>
        <w:t>. Journal of chromatography A</w:t>
      </w:r>
      <w:r>
        <w:rPr>
          <w:color w:val="000000"/>
          <w:kern w:val="0"/>
          <w:szCs w:val="21"/>
          <w:lang w:bidi="en-US"/>
        </w:rPr>
        <w:t xml:space="preserve"> 1153.1（2007）：145-171</w:t>
      </w:r>
    </w:p>
    <w:p>
      <w:pPr>
        <w:ind w:left="482" w:hanging="482"/>
        <w:rPr>
          <w:color w:val="000000"/>
          <w:kern w:val="0"/>
          <w:szCs w:val="21"/>
          <w:lang w:bidi="en-US"/>
        </w:rPr>
      </w:pPr>
      <w:r>
        <w:rPr>
          <w:rFonts w:hint="eastAsia"/>
          <w:color w:val="000000"/>
          <w:kern w:val="0"/>
          <w:szCs w:val="21"/>
          <w:lang w:val="en-US" w:eastAsia="zh-CN" w:bidi="en-US"/>
        </w:rPr>
        <w:t xml:space="preserve">    </w:t>
      </w:r>
      <w:r>
        <w:rPr>
          <w:color w:val="000000"/>
          <w:kern w:val="0"/>
          <w:szCs w:val="21"/>
          <w:lang w:bidi="en-US"/>
        </w:rPr>
        <w:t>[</w:t>
      </w:r>
      <w:r>
        <w:rPr>
          <w:rFonts w:hint="eastAsia"/>
          <w:color w:val="000000"/>
          <w:kern w:val="0"/>
          <w:szCs w:val="21"/>
          <w:lang w:val="en-US" w:eastAsia="zh-CN" w:bidi="en-US"/>
        </w:rPr>
        <w:t>8</w:t>
      </w:r>
      <w:r>
        <w:rPr>
          <w:color w:val="000000"/>
          <w:kern w:val="0"/>
          <w:szCs w:val="21"/>
          <w:lang w:bidi="en-US"/>
        </w:rPr>
        <w:t>]  GB/T 32883-2016 电子电子产品中六溴环十二烷的测定——高效液相色谱质谱法</w:t>
      </w:r>
    </w:p>
    <w:p>
      <w:pPr>
        <w:ind w:left="482" w:hanging="482"/>
        <w:rPr>
          <w:color w:val="000000"/>
          <w:kern w:val="0"/>
          <w:szCs w:val="21"/>
          <w:lang w:bidi="en-US"/>
        </w:rPr>
      </w:pPr>
      <w:r>
        <w:rPr>
          <w:rFonts w:hint="eastAsia"/>
          <w:color w:val="000000"/>
          <w:kern w:val="0"/>
          <w:szCs w:val="21"/>
          <w:lang w:val="en-US" w:eastAsia="zh-CN" w:bidi="en-US"/>
        </w:rPr>
        <w:t xml:space="preserve">    </w:t>
      </w:r>
      <w:r>
        <w:rPr>
          <w:color w:val="000000"/>
          <w:kern w:val="0"/>
          <w:szCs w:val="21"/>
          <w:lang w:bidi="en-US"/>
        </w:rPr>
        <w:t>[</w:t>
      </w:r>
      <w:r>
        <w:rPr>
          <w:rFonts w:hint="eastAsia"/>
          <w:color w:val="000000"/>
          <w:kern w:val="0"/>
          <w:szCs w:val="21"/>
          <w:lang w:val="en-US" w:eastAsia="zh-CN" w:bidi="en-US"/>
        </w:rPr>
        <w:t>9</w:t>
      </w:r>
      <w:r>
        <w:rPr>
          <w:color w:val="000000"/>
          <w:kern w:val="0"/>
          <w:szCs w:val="21"/>
          <w:lang w:bidi="en-US"/>
        </w:rPr>
        <w:t xml:space="preserve">] </w:t>
      </w:r>
      <w:r>
        <w:rPr>
          <w:rFonts w:hint="eastAsia"/>
          <w:color w:val="000000"/>
          <w:kern w:val="0"/>
          <w:szCs w:val="21"/>
          <w:lang w:val="en-US" w:eastAsia="zh-CN" w:bidi="en-US"/>
        </w:rPr>
        <w:t xml:space="preserve"> </w:t>
      </w:r>
      <w:r>
        <w:rPr>
          <w:color w:val="000000"/>
          <w:kern w:val="0"/>
          <w:szCs w:val="21"/>
          <w:lang w:bidi="en-US"/>
        </w:rPr>
        <w:t>GB/T 29785-2013 电子电气产品中六溴环十二烷的测定——气相色谱质谱法</w:t>
      </w:r>
    </w:p>
    <w:p>
      <w:pPr>
        <w:ind w:left="482" w:hanging="482"/>
        <w:rPr>
          <w:color w:val="000000"/>
          <w:kern w:val="0"/>
          <w:szCs w:val="21"/>
          <w:lang w:bidi="en-US"/>
        </w:rPr>
      </w:pPr>
      <w:r>
        <w:rPr>
          <w:rFonts w:hint="eastAsia"/>
          <w:color w:val="000000"/>
          <w:kern w:val="0"/>
          <w:szCs w:val="21"/>
          <w:lang w:val="en-US" w:eastAsia="zh-CN" w:bidi="en-US"/>
        </w:rPr>
        <w:t xml:space="preserve">    </w:t>
      </w:r>
      <w:r>
        <w:rPr>
          <w:color w:val="000000"/>
          <w:kern w:val="0"/>
          <w:szCs w:val="21"/>
          <w:lang w:bidi="en-US"/>
        </w:rPr>
        <w:t>[1</w:t>
      </w:r>
      <w:r>
        <w:rPr>
          <w:rFonts w:hint="eastAsia"/>
          <w:color w:val="000000"/>
          <w:kern w:val="0"/>
          <w:szCs w:val="21"/>
          <w:lang w:val="en-US" w:eastAsia="zh-CN" w:bidi="en-US"/>
        </w:rPr>
        <w:t>0</w:t>
      </w:r>
      <w:r>
        <w:rPr>
          <w:color w:val="000000"/>
          <w:kern w:val="0"/>
          <w:szCs w:val="21"/>
          <w:lang w:bidi="en-US"/>
        </w:rPr>
        <w:t xml:space="preserve">] </w:t>
      </w:r>
      <w:r>
        <w:rPr>
          <w:rFonts w:hint="eastAsia"/>
          <w:color w:val="000000"/>
          <w:kern w:val="0"/>
          <w:szCs w:val="21"/>
          <w:lang w:eastAsia="zh-CN" w:bidi="en-US"/>
        </w:rPr>
        <w:t>陈琼</w:t>
      </w:r>
      <w:r>
        <w:rPr>
          <w:color w:val="000000"/>
          <w:kern w:val="0"/>
          <w:szCs w:val="21"/>
          <w:highlight w:val="none"/>
          <w:lang w:bidi="en-US"/>
        </w:rPr>
        <w:t xml:space="preserve">, </w:t>
      </w:r>
      <w:r>
        <w:rPr>
          <w:rFonts w:hint="eastAsia"/>
          <w:color w:val="000000"/>
          <w:kern w:val="0"/>
          <w:szCs w:val="21"/>
          <w:highlight w:val="none"/>
          <w:lang w:eastAsia="zh-CN" w:bidi="en-US"/>
        </w:rPr>
        <w:t>黄秋鑫</w:t>
      </w:r>
      <w:r>
        <w:rPr>
          <w:color w:val="000000"/>
          <w:kern w:val="0"/>
          <w:szCs w:val="21"/>
          <w:highlight w:val="none"/>
          <w:lang w:bidi="en-US"/>
        </w:rPr>
        <w:t xml:space="preserve">, </w:t>
      </w:r>
      <w:r>
        <w:rPr>
          <w:rFonts w:hint="eastAsia"/>
          <w:color w:val="000000"/>
          <w:kern w:val="0"/>
          <w:szCs w:val="21"/>
          <w:highlight w:val="none"/>
          <w:lang w:eastAsia="zh-CN" w:bidi="en-US"/>
        </w:rPr>
        <w:t>姜涛</w:t>
      </w:r>
      <w:r>
        <w:rPr>
          <w:color w:val="000000"/>
          <w:kern w:val="0"/>
          <w:szCs w:val="21"/>
          <w:highlight w:val="none"/>
          <w:lang w:bidi="en-US"/>
        </w:rPr>
        <w:t>等,“使用超</w:t>
      </w:r>
      <w:r>
        <w:rPr>
          <w:color w:val="000000"/>
          <w:kern w:val="0"/>
          <w:szCs w:val="21"/>
          <w:lang w:bidi="en-US"/>
        </w:rPr>
        <w:t>声波提取法和LC-MS法测定电气和电子产品聚合物中的六溴环十二烷”, 分析测试学报 36.7（2017）：929-932</w:t>
      </w:r>
    </w:p>
    <w:p>
      <w:pPr>
        <w:rPr>
          <w:color w:val="000000"/>
          <w:kern w:val="0"/>
          <w:szCs w:val="21"/>
          <w:lang w:bidi="en-US"/>
        </w:rPr>
      </w:pPr>
    </w:p>
    <w:p>
      <w:pPr>
        <w:jc w:val="center"/>
        <w:rPr>
          <w:color w:val="000000"/>
          <w:kern w:val="0"/>
          <w:szCs w:val="21"/>
          <w:lang w:bidi="en-US"/>
        </w:rPr>
      </w:pPr>
      <w:r>
        <w:rPr>
          <w:color w:val="000000"/>
          <w:kern w:val="0"/>
          <w:szCs w:val="21"/>
          <w:lang w:bidi="en-US"/>
        </w:rPr>
        <w:t>________________</w:t>
      </w:r>
    </w:p>
    <w:p>
      <w:pPr>
        <w:pStyle w:val="89"/>
        <w:numPr>
          <w:ilvl w:val="0"/>
          <w:numId w:val="0"/>
        </w:numPr>
      </w:pPr>
    </w:p>
    <w:sectPr>
      <w:headerReference r:id="rId9" w:type="default"/>
      <w:footerReference r:id="rId11" w:type="default"/>
      <w:headerReference r:id="rId10" w:type="even"/>
      <w:footerReference r:id="rId12" w:type="even"/>
      <w:pgSz w:w="11906" w:h="16838"/>
      <w:pgMar w:top="567" w:right="1134" w:bottom="1134" w:left="1418" w:header="1418" w:footer="1134" w:gutter="0"/>
      <w:pgNumType w:fmt="decimal"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_HKSCS">
    <w:panose1 w:val="02020500000000000000"/>
    <w:charset w:val="88"/>
    <w:family w:val="roman"/>
    <w:pitch w:val="default"/>
    <w:sig w:usb0="A00002FF" w:usb1="38CFFCFA" w:usb2="00000016" w:usb3="00000000" w:csb0="00100001" w:csb1="00000000"/>
  </w:font>
  <w:font w:name="Trebuchet MS">
    <w:panose1 w:val="020B0603020202020204"/>
    <w:charset w:val="00"/>
    <w:family w:val="swiss"/>
    <w:pitch w:val="default"/>
    <w:sig w:usb0="00000287" w:usb1="00000000" w:usb2="00000000" w:usb3="00000000" w:csb0="2000009F" w:csb1="00000000"/>
  </w:font>
  <w:font w:name="Microsoft JhengHei Light">
    <w:altName w:val="Microsoft JhengHei"/>
    <w:panose1 w:val="020B0304030504040204"/>
    <w:charset w:val="88"/>
    <w:family w:val="swiss"/>
    <w:pitch w:val="default"/>
    <w:sig w:usb0="00000000" w:usb1="00000000" w:usb2="00000016" w:usb3="00000000" w:csb0="00100009" w:csb1="00000000"/>
  </w:font>
  <w:font w:name="Cambria Math">
    <w:panose1 w:val="02040503050406030204"/>
    <w:charset w:val="00"/>
    <w:family w:val="roman"/>
    <w:pitch w:val="default"/>
    <w:sig w:usb0="E00002FF" w:usb1="420024FF" w:usb2="00000000" w:usb3="00000000" w:csb0="2000019F"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Fonts w:ascii="Times New Roman"/>
      </w:rPr>
      <w:fldChar w:fldCharType="begin"/>
    </w:r>
    <w:r>
      <w:rPr>
        <w:rFonts w:ascii="Times New Roman"/>
      </w:rPr>
      <w:instrText xml:space="preserve"> PAGEREF _Toc102741961 \h </w:instrText>
    </w:r>
    <w:r>
      <w:rPr>
        <w:rFonts w:ascii="Times New Roman"/>
      </w:rPr>
      <w:fldChar w:fldCharType="separate"/>
    </w:r>
    <w:r>
      <w:rPr>
        <w:b/>
      </w:rPr>
      <w:t>错误！未定义书签。</w:t>
    </w:r>
    <w:r>
      <w:rPr>
        <w:rFonts w:asci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Fonts w:ascii="Times New Roman"/>
      </w:rPr>
      <w:fldChar w:fldCharType="begin"/>
    </w:r>
    <w:r>
      <w:rPr>
        <w:rFonts w:ascii="Times New Roman"/>
      </w:rPr>
      <w:instrText xml:space="preserve"> PAGEREF _Toc102741960 \h </w:instrText>
    </w:r>
    <w:r>
      <w:rPr>
        <w:rFonts w:ascii="Times New Roman"/>
      </w:rPr>
      <w:fldChar w:fldCharType="separate"/>
    </w:r>
    <w:r>
      <w:rPr>
        <w:rFonts w:ascii="Times New Roman"/>
      </w:rPr>
      <w:t>1</w:t>
    </w:r>
    <w:r>
      <w:rPr>
        <w:rFonts w:ascii="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r>
      <w:rPr>
        <w:rFonts w:ascii="Times New Roman"/>
      </w:rPr>
      <w:fldChar w:fldCharType="begin"/>
    </w:r>
    <w:r>
      <w:rPr>
        <w:rFonts w:ascii="Times New Roman"/>
      </w:rPr>
      <w:instrText xml:space="preserve"> PAGEREF _Toc102741960 \h </w:instrText>
    </w:r>
    <w:r>
      <w:rPr>
        <w:rFonts w:ascii="Times New Roman"/>
      </w:rPr>
      <w:fldChar w:fldCharType="separate"/>
    </w:r>
    <w:r>
      <w:rPr>
        <w:rFonts w:ascii="Times New Roman"/>
      </w:rPr>
      <w:t>1</w:t>
    </w:r>
    <w:r>
      <w:rPr>
        <w:rFonts w:ascii="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r>
      <w:rPr>
        <w:rFonts w:ascii="Times New Roman"/>
      </w:rPr>
      <w:fldChar w:fldCharType="begin"/>
    </w:r>
    <w:r>
      <w:rPr>
        <w:rFonts w:ascii="Times New Roman"/>
      </w:rPr>
      <w:instrText xml:space="preserve"> PAGEREF _Toc102741961 \h </w:instrText>
    </w:r>
    <w:r>
      <w:rPr>
        <w:rFonts w:ascii="Times New Roman"/>
      </w:rPr>
      <w:fldChar w:fldCharType="separate"/>
    </w:r>
    <w:r>
      <w:rPr>
        <w:rFonts w:asci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820"/>
      </w:tabs>
      <w:adjustRightInd w:val="0"/>
      <w:snapToGrid w:val="0"/>
      <w:spacing w:before="120" w:beforeLines="50" w:after="120" w:afterLines="50"/>
      <w:jc w:val="right"/>
      <w:rPr>
        <w:bCs/>
        <w:sz w:val="18"/>
        <w:szCs w:val="21"/>
      </w:rPr>
    </w:pPr>
    <w:r>
      <w:rPr>
        <w:rFonts w:hint="eastAsia"/>
        <w:bCs/>
        <w:sz w:val="18"/>
        <w:szCs w:val="21"/>
        <w:lang w:val="en-US" w:eastAsia="zh-CN"/>
      </w:rPr>
      <w:t>GB/T 39560.9-XXXX/</w:t>
    </w:r>
    <w:r>
      <w:rPr>
        <w:bCs/>
        <w:sz w:val="18"/>
        <w:szCs w:val="21"/>
      </w:rPr>
      <w:t>IEC 62321-9:2021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2552"/>
      </w:tabs>
      <w:adjustRightInd w:val="0"/>
      <w:snapToGrid w:val="0"/>
      <w:spacing w:before="120" w:beforeLines="50" w:after="120" w:afterLines="50"/>
      <w:jc w:val="right"/>
      <w:rPr>
        <w:bCs/>
        <w:sz w:val="18"/>
        <w:szCs w:val="21"/>
      </w:rPr>
    </w:pPr>
    <w:r>
      <w:rPr>
        <w:bCs/>
        <w:sz w:val="18"/>
        <w:szCs w:val="21"/>
      </w:rPr>
      <w:tab/>
    </w:r>
    <w:r>
      <w:rPr>
        <w:bCs/>
        <w:sz w:val="18"/>
        <w:szCs w:val="21"/>
      </w:rPr>
      <w:t xml:space="preserve"> </w:t>
    </w:r>
    <w:r>
      <w:rPr>
        <w:rFonts w:hint="eastAsia"/>
        <w:bCs/>
        <w:sz w:val="18"/>
        <w:szCs w:val="21"/>
        <w:lang w:val="en-US" w:eastAsia="zh-CN"/>
      </w:rPr>
      <w:t>GB/T 39560.9-XXXX/</w:t>
    </w:r>
    <w:r>
      <w:rPr>
        <w:bCs/>
        <w:sz w:val="18"/>
        <w:szCs w:val="21"/>
      </w:rPr>
      <w:t xml:space="preserve">IEC 62321-9:2021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4820"/>
      </w:tabs>
      <w:adjustRightInd w:val="0"/>
      <w:snapToGrid w:val="0"/>
      <w:spacing w:before="120" w:beforeLines="50" w:after="120" w:afterLines="50"/>
      <w:jc w:val="right"/>
      <w:rPr>
        <w:bCs/>
        <w:sz w:val="18"/>
        <w:szCs w:val="21"/>
      </w:rPr>
    </w:pPr>
    <w:r>
      <w:rPr>
        <w:rFonts w:hint="eastAsia"/>
        <w:bCs/>
        <w:sz w:val="18"/>
        <w:szCs w:val="21"/>
        <w:lang w:val="en-US" w:eastAsia="zh-CN"/>
      </w:rPr>
      <w:t>GB/T 39560.9-XXXX/</w:t>
    </w:r>
    <w:r>
      <w:rPr>
        <w:bCs/>
        <w:sz w:val="18"/>
        <w:szCs w:val="21"/>
      </w:rPr>
      <w:t>IEC 62321-9:2021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left" w:pos="2552"/>
      </w:tabs>
      <w:adjustRightInd w:val="0"/>
      <w:snapToGrid w:val="0"/>
      <w:spacing w:before="120" w:beforeLines="50" w:after="120" w:afterLines="50"/>
      <w:jc w:val="left"/>
      <w:rPr>
        <w:bCs/>
        <w:sz w:val="18"/>
        <w:szCs w:val="21"/>
      </w:rPr>
    </w:pPr>
    <w:r>
      <w:rPr>
        <w:rFonts w:hint="eastAsia"/>
        <w:bCs/>
        <w:sz w:val="18"/>
        <w:szCs w:val="21"/>
        <w:lang w:val="en-US" w:eastAsia="zh-CN"/>
      </w:rPr>
      <w:t>GB/T 39560.9-XXXX/</w:t>
    </w:r>
    <w:r>
      <w:rPr>
        <w:bCs/>
        <w:sz w:val="18"/>
        <w:szCs w:val="21"/>
      </w:rPr>
      <w:t xml:space="preserve">IEC 62321-9:2021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30B30BE"/>
    <w:multiLevelType w:val="multilevel"/>
    <w:tmpl w:val="130B30BE"/>
    <w:lvl w:ilvl="0" w:tentative="0">
      <w:start w:val="1"/>
      <w:numFmt w:val="none"/>
      <w:lvlText w:val="——"/>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4"/>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59"/>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66"/>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31"/>
      <w:suff w:val="nothing"/>
      <w:lvlText w:val="表%1　"/>
      <w:lvlJc w:val="left"/>
      <w:pPr>
        <w:ind w:left="2977" w:firstLine="0"/>
      </w:pPr>
      <w:rPr>
        <w:rFonts w:hint="eastAsia" w:ascii="黑体" w:hAnsi="Times New Roman" w:eastAsia="黑体"/>
        <w:b w:val="0"/>
        <w:i w:val="0"/>
        <w:sz w:val="21"/>
      </w:rPr>
    </w:lvl>
    <w:lvl w:ilvl="1" w:tentative="0">
      <w:start w:val="1"/>
      <w:numFmt w:val="decimal"/>
      <w:lvlText w:val="%1.%2"/>
      <w:lvlJc w:val="left"/>
      <w:pPr>
        <w:tabs>
          <w:tab w:val="left" w:pos="3969"/>
        </w:tabs>
        <w:ind w:left="3969" w:hanging="567"/>
      </w:pPr>
      <w:rPr>
        <w:rFonts w:hint="eastAsia"/>
      </w:rPr>
    </w:lvl>
    <w:lvl w:ilvl="2" w:tentative="0">
      <w:start w:val="1"/>
      <w:numFmt w:val="decimal"/>
      <w:lvlText w:val="%1.%2.%3"/>
      <w:lvlJc w:val="left"/>
      <w:pPr>
        <w:tabs>
          <w:tab w:val="left" w:pos="4395"/>
        </w:tabs>
        <w:ind w:left="4395" w:hanging="567"/>
      </w:pPr>
      <w:rPr>
        <w:rFonts w:hint="eastAsia"/>
      </w:rPr>
    </w:lvl>
    <w:lvl w:ilvl="3" w:tentative="0">
      <w:start w:val="1"/>
      <w:numFmt w:val="decimal"/>
      <w:lvlText w:val="%1.%2.%3.%4"/>
      <w:lvlJc w:val="left"/>
      <w:pPr>
        <w:tabs>
          <w:tab w:val="left" w:pos="4961"/>
        </w:tabs>
        <w:ind w:left="4961" w:hanging="708"/>
      </w:pPr>
      <w:rPr>
        <w:rFonts w:hint="eastAsia"/>
      </w:rPr>
    </w:lvl>
    <w:lvl w:ilvl="4" w:tentative="0">
      <w:start w:val="1"/>
      <w:numFmt w:val="decimal"/>
      <w:lvlText w:val="%1.%2.%3.%4.%5"/>
      <w:lvlJc w:val="left"/>
      <w:pPr>
        <w:tabs>
          <w:tab w:val="left" w:pos="5528"/>
        </w:tabs>
        <w:ind w:left="5528" w:hanging="850"/>
      </w:pPr>
      <w:rPr>
        <w:rFonts w:hint="eastAsia"/>
      </w:rPr>
    </w:lvl>
    <w:lvl w:ilvl="5" w:tentative="0">
      <w:start w:val="1"/>
      <w:numFmt w:val="decimal"/>
      <w:lvlText w:val="%1.%2.%3.%4.%5.%6"/>
      <w:lvlJc w:val="left"/>
      <w:pPr>
        <w:tabs>
          <w:tab w:val="left" w:pos="6237"/>
        </w:tabs>
        <w:ind w:left="6237" w:hanging="1134"/>
      </w:pPr>
      <w:rPr>
        <w:rFonts w:hint="eastAsia"/>
      </w:rPr>
    </w:lvl>
    <w:lvl w:ilvl="6" w:tentative="0">
      <w:start w:val="1"/>
      <w:numFmt w:val="decimal"/>
      <w:lvlText w:val="%1.%2.%3.%4.%5.%6.%7"/>
      <w:lvlJc w:val="left"/>
      <w:pPr>
        <w:tabs>
          <w:tab w:val="left" w:pos="6804"/>
        </w:tabs>
        <w:ind w:left="6804" w:hanging="1276"/>
      </w:pPr>
      <w:rPr>
        <w:rFonts w:hint="eastAsia"/>
      </w:rPr>
    </w:lvl>
    <w:lvl w:ilvl="7" w:tentative="0">
      <w:start w:val="1"/>
      <w:numFmt w:val="decimal"/>
      <w:lvlText w:val="%1.%2.%3.%4.%5.%6.%7.%8"/>
      <w:lvlJc w:val="left"/>
      <w:pPr>
        <w:tabs>
          <w:tab w:val="left" w:pos="7371"/>
        </w:tabs>
        <w:ind w:left="7371" w:hanging="1418"/>
      </w:pPr>
      <w:rPr>
        <w:rFonts w:hint="eastAsia"/>
      </w:rPr>
    </w:lvl>
    <w:lvl w:ilvl="8" w:tentative="0">
      <w:start w:val="1"/>
      <w:numFmt w:val="decimal"/>
      <w:lvlText w:val="%1.%2.%3.%4.%5.%6.%7.%8.%9"/>
      <w:lvlJc w:val="left"/>
      <w:pPr>
        <w:tabs>
          <w:tab w:val="left" w:pos="8079"/>
        </w:tabs>
        <w:ind w:left="8079" w:hanging="1700"/>
      </w:pPr>
      <w:rPr>
        <w:rFonts w:hint="eastAsia"/>
      </w:rPr>
    </w:lvl>
  </w:abstractNum>
  <w:abstractNum w:abstractNumId="14">
    <w:nsid w:val="64CC51EE"/>
    <w:multiLevelType w:val="singleLevel"/>
    <w:tmpl w:val="64CC51EE"/>
    <w:lvl w:ilvl="0" w:tentative="0">
      <w:start w:val="1"/>
      <w:numFmt w:val="lowerLetter"/>
      <w:lvlText w:val="%1）"/>
      <w:lvlJc w:val="left"/>
    </w:lvl>
  </w:abstractNum>
  <w:abstractNum w:abstractNumId="15">
    <w:nsid w:val="64D44D8C"/>
    <w:multiLevelType w:val="singleLevel"/>
    <w:tmpl w:val="64D44D8C"/>
    <w:lvl w:ilvl="0" w:tentative="0">
      <w:start w:val="1"/>
      <w:numFmt w:val="lowerLetter"/>
      <w:lvlText w:val="%1）"/>
      <w:lvlJc w:val="left"/>
    </w:lvl>
  </w:abstractNum>
  <w:abstractNum w:abstractNumId="16">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7"/>
  </w:num>
  <w:num w:numId="3">
    <w:abstractNumId w:val="2"/>
  </w:num>
  <w:num w:numId="4">
    <w:abstractNumId w:val="9"/>
  </w:num>
  <w:num w:numId="5">
    <w:abstractNumId w:val="18"/>
  </w:num>
  <w:num w:numId="6">
    <w:abstractNumId w:val="0"/>
  </w:num>
  <w:num w:numId="7">
    <w:abstractNumId w:val="10"/>
  </w:num>
  <w:num w:numId="8">
    <w:abstractNumId w:val="5"/>
  </w:num>
  <w:num w:numId="9">
    <w:abstractNumId w:val="16"/>
  </w:num>
  <w:num w:numId="10">
    <w:abstractNumId w:val="12"/>
  </w:num>
  <w:num w:numId="11">
    <w:abstractNumId w:val="17"/>
  </w:num>
  <w:num w:numId="12">
    <w:abstractNumId w:val="6"/>
  </w:num>
  <w:num w:numId="13">
    <w:abstractNumId w:val="1"/>
  </w:num>
  <w:num w:numId="14">
    <w:abstractNumId w:val="3"/>
  </w:num>
  <w:num w:numId="15">
    <w:abstractNumId w:val="13"/>
  </w:num>
  <w:num w:numId="16">
    <w:abstractNumId w:val="11"/>
  </w:num>
  <w:num w:numId="17">
    <w:abstractNumId w:val="4"/>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NzRlZDliZDNhZDM3NGQzZDMyN2M0ZTZjMzI0ZTEifQ=="/>
  </w:docVars>
  <w:rsids>
    <w:rsidRoot w:val="00035925"/>
    <w:rsid w:val="00000244"/>
    <w:rsid w:val="000007E2"/>
    <w:rsid w:val="0000185F"/>
    <w:rsid w:val="00001AB5"/>
    <w:rsid w:val="00004D0F"/>
    <w:rsid w:val="0000586F"/>
    <w:rsid w:val="00007300"/>
    <w:rsid w:val="00010DBE"/>
    <w:rsid w:val="00013B9F"/>
    <w:rsid w:val="00013D86"/>
    <w:rsid w:val="00013E02"/>
    <w:rsid w:val="0002143C"/>
    <w:rsid w:val="00021FF2"/>
    <w:rsid w:val="000241B1"/>
    <w:rsid w:val="00025A65"/>
    <w:rsid w:val="00026C31"/>
    <w:rsid w:val="00027280"/>
    <w:rsid w:val="000320A7"/>
    <w:rsid w:val="00035925"/>
    <w:rsid w:val="00035E7C"/>
    <w:rsid w:val="000374B8"/>
    <w:rsid w:val="00044753"/>
    <w:rsid w:val="0004642E"/>
    <w:rsid w:val="00047407"/>
    <w:rsid w:val="00056CA9"/>
    <w:rsid w:val="00065A5D"/>
    <w:rsid w:val="000661C1"/>
    <w:rsid w:val="00067CDF"/>
    <w:rsid w:val="00071469"/>
    <w:rsid w:val="00074FBE"/>
    <w:rsid w:val="00077D4E"/>
    <w:rsid w:val="000807A5"/>
    <w:rsid w:val="00083A09"/>
    <w:rsid w:val="00084125"/>
    <w:rsid w:val="0009005E"/>
    <w:rsid w:val="00092685"/>
    <w:rsid w:val="00092857"/>
    <w:rsid w:val="000A20A9"/>
    <w:rsid w:val="000A3A0A"/>
    <w:rsid w:val="000A48B1"/>
    <w:rsid w:val="000A5ACE"/>
    <w:rsid w:val="000B3143"/>
    <w:rsid w:val="000B4622"/>
    <w:rsid w:val="000C6B05"/>
    <w:rsid w:val="000C6DD6"/>
    <w:rsid w:val="000C73D4"/>
    <w:rsid w:val="000D3D4C"/>
    <w:rsid w:val="000D4F51"/>
    <w:rsid w:val="000D718B"/>
    <w:rsid w:val="000E0C46"/>
    <w:rsid w:val="000E1B2F"/>
    <w:rsid w:val="000E78AB"/>
    <w:rsid w:val="000F030C"/>
    <w:rsid w:val="000F129C"/>
    <w:rsid w:val="00101EB2"/>
    <w:rsid w:val="001056DE"/>
    <w:rsid w:val="0010674A"/>
    <w:rsid w:val="001124C0"/>
    <w:rsid w:val="0012535A"/>
    <w:rsid w:val="00130299"/>
    <w:rsid w:val="00130E43"/>
    <w:rsid w:val="00130F95"/>
    <w:rsid w:val="0013175F"/>
    <w:rsid w:val="0013537C"/>
    <w:rsid w:val="001371C7"/>
    <w:rsid w:val="0014251E"/>
    <w:rsid w:val="001512B4"/>
    <w:rsid w:val="00152A98"/>
    <w:rsid w:val="00152F4A"/>
    <w:rsid w:val="00154A6A"/>
    <w:rsid w:val="00156ED0"/>
    <w:rsid w:val="001620A5"/>
    <w:rsid w:val="0016452C"/>
    <w:rsid w:val="00164E53"/>
    <w:rsid w:val="001660A4"/>
    <w:rsid w:val="0016699D"/>
    <w:rsid w:val="001700B4"/>
    <w:rsid w:val="00171708"/>
    <w:rsid w:val="00173E8D"/>
    <w:rsid w:val="00175159"/>
    <w:rsid w:val="00176208"/>
    <w:rsid w:val="00176506"/>
    <w:rsid w:val="0018211B"/>
    <w:rsid w:val="00183E40"/>
    <w:rsid w:val="001840D3"/>
    <w:rsid w:val="00184507"/>
    <w:rsid w:val="001900F8"/>
    <w:rsid w:val="00191258"/>
    <w:rsid w:val="00192680"/>
    <w:rsid w:val="00193037"/>
    <w:rsid w:val="0019312E"/>
    <w:rsid w:val="00193A2C"/>
    <w:rsid w:val="001A06DB"/>
    <w:rsid w:val="001A288E"/>
    <w:rsid w:val="001B1E65"/>
    <w:rsid w:val="001B3F90"/>
    <w:rsid w:val="001B4471"/>
    <w:rsid w:val="001B6A14"/>
    <w:rsid w:val="001B6DC2"/>
    <w:rsid w:val="001C0716"/>
    <w:rsid w:val="001C0A4E"/>
    <w:rsid w:val="001C149C"/>
    <w:rsid w:val="001C21AC"/>
    <w:rsid w:val="001C4794"/>
    <w:rsid w:val="001C47BA"/>
    <w:rsid w:val="001C5098"/>
    <w:rsid w:val="001C59EA"/>
    <w:rsid w:val="001D0196"/>
    <w:rsid w:val="001D263B"/>
    <w:rsid w:val="001D406C"/>
    <w:rsid w:val="001D41EE"/>
    <w:rsid w:val="001D4898"/>
    <w:rsid w:val="001D75DD"/>
    <w:rsid w:val="001E0380"/>
    <w:rsid w:val="001E13B1"/>
    <w:rsid w:val="001E2057"/>
    <w:rsid w:val="001E5E43"/>
    <w:rsid w:val="001F3A19"/>
    <w:rsid w:val="001F4165"/>
    <w:rsid w:val="00202F08"/>
    <w:rsid w:val="00206B06"/>
    <w:rsid w:val="002103B7"/>
    <w:rsid w:val="0021570E"/>
    <w:rsid w:val="00215DA8"/>
    <w:rsid w:val="00225A42"/>
    <w:rsid w:val="00234467"/>
    <w:rsid w:val="00237D8D"/>
    <w:rsid w:val="00241DA2"/>
    <w:rsid w:val="00245024"/>
    <w:rsid w:val="00247FEE"/>
    <w:rsid w:val="00250E7D"/>
    <w:rsid w:val="002521E8"/>
    <w:rsid w:val="0025347B"/>
    <w:rsid w:val="00253BC3"/>
    <w:rsid w:val="002565D5"/>
    <w:rsid w:val="00257D7A"/>
    <w:rsid w:val="002622C0"/>
    <w:rsid w:val="002623B9"/>
    <w:rsid w:val="00262461"/>
    <w:rsid w:val="00263DFF"/>
    <w:rsid w:val="00266903"/>
    <w:rsid w:val="00273E12"/>
    <w:rsid w:val="0027593C"/>
    <w:rsid w:val="002778AE"/>
    <w:rsid w:val="0028269A"/>
    <w:rsid w:val="00283590"/>
    <w:rsid w:val="00285D46"/>
    <w:rsid w:val="00286973"/>
    <w:rsid w:val="00294E70"/>
    <w:rsid w:val="002971CF"/>
    <w:rsid w:val="002973CF"/>
    <w:rsid w:val="002A1924"/>
    <w:rsid w:val="002A653B"/>
    <w:rsid w:val="002A7420"/>
    <w:rsid w:val="002A7FE6"/>
    <w:rsid w:val="002B0F12"/>
    <w:rsid w:val="002B1308"/>
    <w:rsid w:val="002B4554"/>
    <w:rsid w:val="002C3519"/>
    <w:rsid w:val="002C6982"/>
    <w:rsid w:val="002C72D8"/>
    <w:rsid w:val="002D11FA"/>
    <w:rsid w:val="002D3E43"/>
    <w:rsid w:val="002D6541"/>
    <w:rsid w:val="002E0DDF"/>
    <w:rsid w:val="002E2906"/>
    <w:rsid w:val="002E5635"/>
    <w:rsid w:val="002E64C3"/>
    <w:rsid w:val="002E6A2C"/>
    <w:rsid w:val="002E6BE3"/>
    <w:rsid w:val="002E6E5A"/>
    <w:rsid w:val="002F1C45"/>
    <w:rsid w:val="002F1D8C"/>
    <w:rsid w:val="002F21DA"/>
    <w:rsid w:val="002F28FB"/>
    <w:rsid w:val="002F3946"/>
    <w:rsid w:val="002F763C"/>
    <w:rsid w:val="00301F39"/>
    <w:rsid w:val="00303944"/>
    <w:rsid w:val="003042FB"/>
    <w:rsid w:val="00307CF3"/>
    <w:rsid w:val="0031409C"/>
    <w:rsid w:val="003206D0"/>
    <w:rsid w:val="00325926"/>
    <w:rsid w:val="00326F20"/>
    <w:rsid w:val="00327A8A"/>
    <w:rsid w:val="00330AB0"/>
    <w:rsid w:val="00330DF9"/>
    <w:rsid w:val="00334B2D"/>
    <w:rsid w:val="00336610"/>
    <w:rsid w:val="00336E8B"/>
    <w:rsid w:val="00343F73"/>
    <w:rsid w:val="00345060"/>
    <w:rsid w:val="00346F06"/>
    <w:rsid w:val="0035323B"/>
    <w:rsid w:val="00356B91"/>
    <w:rsid w:val="003609D2"/>
    <w:rsid w:val="003629C4"/>
    <w:rsid w:val="00363F22"/>
    <w:rsid w:val="00366FEC"/>
    <w:rsid w:val="00374588"/>
    <w:rsid w:val="003752D4"/>
    <w:rsid w:val="00375564"/>
    <w:rsid w:val="00376795"/>
    <w:rsid w:val="00383191"/>
    <w:rsid w:val="00386DED"/>
    <w:rsid w:val="00390356"/>
    <w:rsid w:val="003912E7"/>
    <w:rsid w:val="00393775"/>
    <w:rsid w:val="00393947"/>
    <w:rsid w:val="003966E6"/>
    <w:rsid w:val="0039670F"/>
    <w:rsid w:val="003A2275"/>
    <w:rsid w:val="003A3E6C"/>
    <w:rsid w:val="003A4CEB"/>
    <w:rsid w:val="003A6A4F"/>
    <w:rsid w:val="003A7088"/>
    <w:rsid w:val="003B00DF"/>
    <w:rsid w:val="003B1275"/>
    <w:rsid w:val="003B1778"/>
    <w:rsid w:val="003B7E02"/>
    <w:rsid w:val="003C11CB"/>
    <w:rsid w:val="003C75F3"/>
    <w:rsid w:val="003C78A3"/>
    <w:rsid w:val="003D2A06"/>
    <w:rsid w:val="003E1867"/>
    <w:rsid w:val="003E5729"/>
    <w:rsid w:val="003F1B10"/>
    <w:rsid w:val="003F35D3"/>
    <w:rsid w:val="003F4EE0"/>
    <w:rsid w:val="003F6085"/>
    <w:rsid w:val="003F65BE"/>
    <w:rsid w:val="003F73AC"/>
    <w:rsid w:val="00402153"/>
    <w:rsid w:val="00402FC1"/>
    <w:rsid w:val="00403177"/>
    <w:rsid w:val="004042B6"/>
    <w:rsid w:val="004053FB"/>
    <w:rsid w:val="0041403D"/>
    <w:rsid w:val="00422AEF"/>
    <w:rsid w:val="00425082"/>
    <w:rsid w:val="00426BF6"/>
    <w:rsid w:val="00431DEB"/>
    <w:rsid w:val="00437725"/>
    <w:rsid w:val="0044254F"/>
    <w:rsid w:val="004445E5"/>
    <w:rsid w:val="00446371"/>
    <w:rsid w:val="00446B29"/>
    <w:rsid w:val="00451E6C"/>
    <w:rsid w:val="00452439"/>
    <w:rsid w:val="00453F9A"/>
    <w:rsid w:val="00457F7F"/>
    <w:rsid w:val="00461681"/>
    <w:rsid w:val="004618D6"/>
    <w:rsid w:val="00471E91"/>
    <w:rsid w:val="00474675"/>
    <w:rsid w:val="0047470C"/>
    <w:rsid w:val="0047668E"/>
    <w:rsid w:val="00477CC4"/>
    <w:rsid w:val="0048082B"/>
    <w:rsid w:val="00484556"/>
    <w:rsid w:val="00486B88"/>
    <w:rsid w:val="004A35F9"/>
    <w:rsid w:val="004A55B2"/>
    <w:rsid w:val="004B24C1"/>
    <w:rsid w:val="004B78C5"/>
    <w:rsid w:val="004C12A1"/>
    <w:rsid w:val="004C292F"/>
    <w:rsid w:val="004D1D32"/>
    <w:rsid w:val="004D5378"/>
    <w:rsid w:val="004D7900"/>
    <w:rsid w:val="004E53F2"/>
    <w:rsid w:val="00501462"/>
    <w:rsid w:val="0050381A"/>
    <w:rsid w:val="00504116"/>
    <w:rsid w:val="00510280"/>
    <w:rsid w:val="00513D73"/>
    <w:rsid w:val="00514A43"/>
    <w:rsid w:val="005174E5"/>
    <w:rsid w:val="0052121B"/>
    <w:rsid w:val="00522246"/>
    <w:rsid w:val="00522393"/>
    <w:rsid w:val="00522620"/>
    <w:rsid w:val="00524C37"/>
    <w:rsid w:val="00525656"/>
    <w:rsid w:val="005258D3"/>
    <w:rsid w:val="00525F50"/>
    <w:rsid w:val="005261DC"/>
    <w:rsid w:val="00532C3D"/>
    <w:rsid w:val="00534A7B"/>
    <w:rsid w:val="00534C02"/>
    <w:rsid w:val="00536DC1"/>
    <w:rsid w:val="00540156"/>
    <w:rsid w:val="0054264B"/>
    <w:rsid w:val="00543786"/>
    <w:rsid w:val="00545497"/>
    <w:rsid w:val="0054713B"/>
    <w:rsid w:val="005511A4"/>
    <w:rsid w:val="005525CC"/>
    <w:rsid w:val="005533D7"/>
    <w:rsid w:val="005542B1"/>
    <w:rsid w:val="00554621"/>
    <w:rsid w:val="00561BCC"/>
    <w:rsid w:val="0056466B"/>
    <w:rsid w:val="0056630C"/>
    <w:rsid w:val="005703DE"/>
    <w:rsid w:val="0058464E"/>
    <w:rsid w:val="005879A1"/>
    <w:rsid w:val="0059515B"/>
    <w:rsid w:val="005A01CB"/>
    <w:rsid w:val="005A143F"/>
    <w:rsid w:val="005A58FF"/>
    <w:rsid w:val="005A5AA8"/>
    <w:rsid w:val="005A5B9D"/>
    <w:rsid w:val="005A5EAF"/>
    <w:rsid w:val="005A64C0"/>
    <w:rsid w:val="005B1167"/>
    <w:rsid w:val="005B2CBC"/>
    <w:rsid w:val="005B3C11"/>
    <w:rsid w:val="005B47BD"/>
    <w:rsid w:val="005B696D"/>
    <w:rsid w:val="005B6BA3"/>
    <w:rsid w:val="005C0C6F"/>
    <w:rsid w:val="005C1C28"/>
    <w:rsid w:val="005C6DB5"/>
    <w:rsid w:val="005D29EB"/>
    <w:rsid w:val="005D55BC"/>
    <w:rsid w:val="005D6542"/>
    <w:rsid w:val="005E1721"/>
    <w:rsid w:val="005E19E7"/>
    <w:rsid w:val="005E3286"/>
    <w:rsid w:val="005E7449"/>
    <w:rsid w:val="005F56A2"/>
    <w:rsid w:val="00604D4E"/>
    <w:rsid w:val="006062F2"/>
    <w:rsid w:val="006125AA"/>
    <w:rsid w:val="0061716C"/>
    <w:rsid w:val="00623415"/>
    <w:rsid w:val="006243A1"/>
    <w:rsid w:val="006275E1"/>
    <w:rsid w:val="00632CBC"/>
    <w:rsid w:val="00632E56"/>
    <w:rsid w:val="00635CBA"/>
    <w:rsid w:val="006363A6"/>
    <w:rsid w:val="0064338B"/>
    <w:rsid w:val="00646542"/>
    <w:rsid w:val="00650423"/>
    <w:rsid w:val="006504F4"/>
    <w:rsid w:val="00654BC9"/>
    <w:rsid w:val="006552FD"/>
    <w:rsid w:val="00662BEE"/>
    <w:rsid w:val="00663AF3"/>
    <w:rsid w:val="00664BD4"/>
    <w:rsid w:val="00665D11"/>
    <w:rsid w:val="00666B6C"/>
    <w:rsid w:val="00667408"/>
    <w:rsid w:val="00672E55"/>
    <w:rsid w:val="00682682"/>
    <w:rsid w:val="00682702"/>
    <w:rsid w:val="00683775"/>
    <w:rsid w:val="00687706"/>
    <w:rsid w:val="00692368"/>
    <w:rsid w:val="00692AF1"/>
    <w:rsid w:val="006A0EA1"/>
    <w:rsid w:val="006A26E4"/>
    <w:rsid w:val="006A29AA"/>
    <w:rsid w:val="006A2EBC"/>
    <w:rsid w:val="006A5EA0"/>
    <w:rsid w:val="006A689C"/>
    <w:rsid w:val="006A783B"/>
    <w:rsid w:val="006A7B33"/>
    <w:rsid w:val="006B4E13"/>
    <w:rsid w:val="006B75DD"/>
    <w:rsid w:val="006C195E"/>
    <w:rsid w:val="006C6586"/>
    <w:rsid w:val="006C67E0"/>
    <w:rsid w:val="006C7ABA"/>
    <w:rsid w:val="006D0C7F"/>
    <w:rsid w:val="006D0D60"/>
    <w:rsid w:val="006D1122"/>
    <w:rsid w:val="006D18BF"/>
    <w:rsid w:val="006D3049"/>
    <w:rsid w:val="006D3C00"/>
    <w:rsid w:val="006D59B5"/>
    <w:rsid w:val="006E2BBC"/>
    <w:rsid w:val="006E3675"/>
    <w:rsid w:val="006E4A7F"/>
    <w:rsid w:val="00704DF6"/>
    <w:rsid w:val="0070651C"/>
    <w:rsid w:val="007132A3"/>
    <w:rsid w:val="0071342C"/>
    <w:rsid w:val="00716421"/>
    <w:rsid w:val="0072275C"/>
    <w:rsid w:val="00724EFB"/>
    <w:rsid w:val="007325C9"/>
    <w:rsid w:val="00735DF3"/>
    <w:rsid w:val="007419C3"/>
    <w:rsid w:val="007467A7"/>
    <w:rsid w:val="007469DD"/>
    <w:rsid w:val="0074741B"/>
    <w:rsid w:val="0074759E"/>
    <w:rsid w:val="007478EA"/>
    <w:rsid w:val="0075415C"/>
    <w:rsid w:val="007571E9"/>
    <w:rsid w:val="00761646"/>
    <w:rsid w:val="00761A52"/>
    <w:rsid w:val="00762A11"/>
    <w:rsid w:val="00762E41"/>
    <w:rsid w:val="00763502"/>
    <w:rsid w:val="00763701"/>
    <w:rsid w:val="007659D5"/>
    <w:rsid w:val="007674F4"/>
    <w:rsid w:val="00770B40"/>
    <w:rsid w:val="00771B4F"/>
    <w:rsid w:val="00772889"/>
    <w:rsid w:val="007743C6"/>
    <w:rsid w:val="00781456"/>
    <w:rsid w:val="007913AB"/>
    <w:rsid w:val="007914F7"/>
    <w:rsid w:val="00792211"/>
    <w:rsid w:val="007970F5"/>
    <w:rsid w:val="007A589E"/>
    <w:rsid w:val="007B1625"/>
    <w:rsid w:val="007B181C"/>
    <w:rsid w:val="007B706E"/>
    <w:rsid w:val="007B71EB"/>
    <w:rsid w:val="007C6205"/>
    <w:rsid w:val="007C686A"/>
    <w:rsid w:val="007C728E"/>
    <w:rsid w:val="007D03BD"/>
    <w:rsid w:val="007D2C53"/>
    <w:rsid w:val="007D3D60"/>
    <w:rsid w:val="007D4153"/>
    <w:rsid w:val="007D76C0"/>
    <w:rsid w:val="007E1980"/>
    <w:rsid w:val="007E1B26"/>
    <w:rsid w:val="007E287E"/>
    <w:rsid w:val="007E2926"/>
    <w:rsid w:val="007E4B76"/>
    <w:rsid w:val="007E5EA8"/>
    <w:rsid w:val="007F0CF1"/>
    <w:rsid w:val="007F12A5"/>
    <w:rsid w:val="007F4CF1"/>
    <w:rsid w:val="007F595D"/>
    <w:rsid w:val="007F758D"/>
    <w:rsid w:val="007F7D52"/>
    <w:rsid w:val="00805451"/>
    <w:rsid w:val="0080654C"/>
    <w:rsid w:val="008071C6"/>
    <w:rsid w:val="008113A8"/>
    <w:rsid w:val="00815996"/>
    <w:rsid w:val="00817A00"/>
    <w:rsid w:val="00822A62"/>
    <w:rsid w:val="00822B50"/>
    <w:rsid w:val="00835DB3"/>
    <w:rsid w:val="0083617B"/>
    <w:rsid w:val="008362AE"/>
    <w:rsid w:val="008371BD"/>
    <w:rsid w:val="008436D7"/>
    <w:rsid w:val="00844388"/>
    <w:rsid w:val="0084726E"/>
    <w:rsid w:val="0085030C"/>
    <w:rsid w:val="008504A8"/>
    <w:rsid w:val="00851F10"/>
    <w:rsid w:val="0085282E"/>
    <w:rsid w:val="008528F9"/>
    <w:rsid w:val="00855227"/>
    <w:rsid w:val="0085638C"/>
    <w:rsid w:val="00856CE7"/>
    <w:rsid w:val="00860456"/>
    <w:rsid w:val="00861E06"/>
    <w:rsid w:val="00864517"/>
    <w:rsid w:val="00866038"/>
    <w:rsid w:val="008668C4"/>
    <w:rsid w:val="0086720E"/>
    <w:rsid w:val="0086789C"/>
    <w:rsid w:val="0087198C"/>
    <w:rsid w:val="00872C1F"/>
    <w:rsid w:val="00873B42"/>
    <w:rsid w:val="00877169"/>
    <w:rsid w:val="00883F21"/>
    <w:rsid w:val="00884701"/>
    <w:rsid w:val="008856D8"/>
    <w:rsid w:val="00892E82"/>
    <w:rsid w:val="00893B34"/>
    <w:rsid w:val="00896987"/>
    <w:rsid w:val="008A0F7F"/>
    <w:rsid w:val="008A1036"/>
    <w:rsid w:val="008A4401"/>
    <w:rsid w:val="008B145E"/>
    <w:rsid w:val="008B1DEE"/>
    <w:rsid w:val="008B77B5"/>
    <w:rsid w:val="008C1B58"/>
    <w:rsid w:val="008C39AE"/>
    <w:rsid w:val="008C590D"/>
    <w:rsid w:val="008D574A"/>
    <w:rsid w:val="008E031B"/>
    <w:rsid w:val="008E3803"/>
    <w:rsid w:val="008E7029"/>
    <w:rsid w:val="008E7582"/>
    <w:rsid w:val="008E7EF6"/>
    <w:rsid w:val="008F1F98"/>
    <w:rsid w:val="008F6758"/>
    <w:rsid w:val="009040DD"/>
    <w:rsid w:val="00905B47"/>
    <w:rsid w:val="009072C1"/>
    <w:rsid w:val="0091331C"/>
    <w:rsid w:val="00916B4E"/>
    <w:rsid w:val="00921B1E"/>
    <w:rsid w:val="00922DC0"/>
    <w:rsid w:val="009279DE"/>
    <w:rsid w:val="00930116"/>
    <w:rsid w:val="00930ADC"/>
    <w:rsid w:val="009376D7"/>
    <w:rsid w:val="0094212C"/>
    <w:rsid w:val="009430CF"/>
    <w:rsid w:val="0094628D"/>
    <w:rsid w:val="00946290"/>
    <w:rsid w:val="00953424"/>
    <w:rsid w:val="009542D6"/>
    <w:rsid w:val="00954689"/>
    <w:rsid w:val="009617C9"/>
    <w:rsid w:val="00961C93"/>
    <w:rsid w:val="009639DB"/>
    <w:rsid w:val="00965324"/>
    <w:rsid w:val="00965CAB"/>
    <w:rsid w:val="0097091E"/>
    <w:rsid w:val="00971FCA"/>
    <w:rsid w:val="00973751"/>
    <w:rsid w:val="00973B08"/>
    <w:rsid w:val="009760D3"/>
    <w:rsid w:val="00977132"/>
    <w:rsid w:val="009818F1"/>
    <w:rsid w:val="00981A4B"/>
    <w:rsid w:val="00982501"/>
    <w:rsid w:val="009877D3"/>
    <w:rsid w:val="00990F95"/>
    <w:rsid w:val="00994E8F"/>
    <w:rsid w:val="009951DC"/>
    <w:rsid w:val="009959BB"/>
    <w:rsid w:val="00997158"/>
    <w:rsid w:val="009A3A7C"/>
    <w:rsid w:val="009A5FEA"/>
    <w:rsid w:val="009B0350"/>
    <w:rsid w:val="009B2ADB"/>
    <w:rsid w:val="009B470A"/>
    <w:rsid w:val="009B603A"/>
    <w:rsid w:val="009C1492"/>
    <w:rsid w:val="009C217B"/>
    <w:rsid w:val="009C2D0E"/>
    <w:rsid w:val="009C3DAC"/>
    <w:rsid w:val="009C4230"/>
    <w:rsid w:val="009C42E0"/>
    <w:rsid w:val="009D2E80"/>
    <w:rsid w:val="009D5362"/>
    <w:rsid w:val="009E0CB4"/>
    <w:rsid w:val="009E0E0A"/>
    <w:rsid w:val="009E1415"/>
    <w:rsid w:val="009E3F2A"/>
    <w:rsid w:val="009E6116"/>
    <w:rsid w:val="009F0663"/>
    <w:rsid w:val="009F31D7"/>
    <w:rsid w:val="00A00599"/>
    <w:rsid w:val="00A02E43"/>
    <w:rsid w:val="00A065F9"/>
    <w:rsid w:val="00A07F34"/>
    <w:rsid w:val="00A1090F"/>
    <w:rsid w:val="00A15003"/>
    <w:rsid w:val="00A22154"/>
    <w:rsid w:val="00A2526C"/>
    <w:rsid w:val="00A25C38"/>
    <w:rsid w:val="00A36BBE"/>
    <w:rsid w:val="00A3760F"/>
    <w:rsid w:val="00A428F4"/>
    <w:rsid w:val="00A4307A"/>
    <w:rsid w:val="00A440AD"/>
    <w:rsid w:val="00A47EBB"/>
    <w:rsid w:val="00A5146B"/>
    <w:rsid w:val="00A51CDD"/>
    <w:rsid w:val="00A6511D"/>
    <w:rsid w:val="00A65297"/>
    <w:rsid w:val="00A6730D"/>
    <w:rsid w:val="00A67774"/>
    <w:rsid w:val="00A71625"/>
    <w:rsid w:val="00A71B9B"/>
    <w:rsid w:val="00A7371F"/>
    <w:rsid w:val="00A751C7"/>
    <w:rsid w:val="00A8439C"/>
    <w:rsid w:val="00A87844"/>
    <w:rsid w:val="00A9185B"/>
    <w:rsid w:val="00A9624D"/>
    <w:rsid w:val="00AA038C"/>
    <w:rsid w:val="00AA1E6B"/>
    <w:rsid w:val="00AA7A09"/>
    <w:rsid w:val="00AB23ED"/>
    <w:rsid w:val="00AB3B50"/>
    <w:rsid w:val="00AB3D31"/>
    <w:rsid w:val="00AB43D9"/>
    <w:rsid w:val="00AB554E"/>
    <w:rsid w:val="00AB5B41"/>
    <w:rsid w:val="00AC05B1"/>
    <w:rsid w:val="00AC05BB"/>
    <w:rsid w:val="00AC0E8E"/>
    <w:rsid w:val="00AC1DC7"/>
    <w:rsid w:val="00AC22CF"/>
    <w:rsid w:val="00AD047B"/>
    <w:rsid w:val="00AD356C"/>
    <w:rsid w:val="00AE2914"/>
    <w:rsid w:val="00AE6D15"/>
    <w:rsid w:val="00AF0212"/>
    <w:rsid w:val="00AF16F7"/>
    <w:rsid w:val="00AF5408"/>
    <w:rsid w:val="00AF5738"/>
    <w:rsid w:val="00AF651D"/>
    <w:rsid w:val="00B00EDB"/>
    <w:rsid w:val="00B01CD0"/>
    <w:rsid w:val="00B04182"/>
    <w:rsid w:val="00B07AE3"/>
    <w:rsid w:val="00B10376"/>
    <w:rsid w:val="00B11430"/>
    <w:rsid w:val="00B211F2"/>
    <w:rsid w:val="00B2482D"/>
    <w:rsid w:val="00B2502B"/>
    <w:rsid w:val="00B25256"/>
    <w:rsid w:val="00B353EB"/>
    <w:rsid w:val="00B4189E"/>
    <w:rsid w:val="00B41D06"/>
    <w:rsid w:val="00B435CF"/>
    <w:rsid w:val="00B43750"/>
    <w:rsid w:val="00B439C4"/>
    <w:rsid w:val="00B4535E"/>
    <w:rsid w:val="00B50C3E"/>
    <w:rsid w:val="00B52A8C"/>
    <w:rsid w:val="00B55390"/>
    <w:rsid w:val="00B56841"/>
    <w:rsid w:val="00B62D47"/>
    <w:rsid w:val="00B636A8"/>
    <w:rsid w:val="00B665C6"/>
    <w:rsid w:val="00B805AF"/>
    <w:rsid w:val="00B81F1D"/>
    <w:rsid w:val="00B84FF5"/>
    <w:rsid w:val="00B869EC"/>
    <w:rsid w:val="00B87864"/>
    <w:rsid w:val="00B908F6"/>
    <w:rsid w:val="00B9397A"/>
    <w:rsid w:val="00B9633D"/>
    <w:rsid w:val="00BA1C14"/>
    <w:rsid w:val="00BA2D3A"/>
    <w:rsid w:val="00BA2EBE"/>
    <w:rsid w:val="00BA4CD5"/>
    <w:rsid w:val="00BA5290"/>
    <w:rsid w:val="00BB0F28"/>
    <w:rsid w:val="00BB458A"/>
    <w:rsid w:val="00BB6D62"/>
    <w:rsid w:val="00BB77E6"/>
    <w:rsid w:val="00BB7EF5"/>
    <w:rsid w:val="00BC3B02"/>
    <w:rsid w:val="00BC5A89"/>
    <w:rsid w:val="00BC6E96"/>
    <w:rsid w:val="00BD00D3"/>
    <w:rsid w:val="00BD1659"/>
    <w:rsid w:val="00BD23DF"/>
    <w:rsid w:val="00BD3AA9"/>
    <w:rsid w:val="00BD4A18"/>
    <w:rsid w:val="00BD6DB2"/>
    <w:rsid w:val="00BE0297"/>
    <w:rsid w:val="00BE0CEB"/>
    <w:rsid w:val="00BE11CF"/>
    <w:rsid w:val="00BE21AB"/>
    <w:rsid w:val="00BE3019"/>
    <w:rsid w:val="00BE55CB"/>
    <w:rsid w:val="00BF0278"/>
    <w:rsid w:val="00BF320C"/>
    <w:rsid w:val="00BF617A"/>
    <w:rsid w:val="00C02180"/>
    <w:rsid w:val="00C026BF"/>
    <w:rsid w:val="00C03682"/>
    <w:rsid w:val="00C0379D"/>
    <w:rsid w:val="00C03931"/>
    <w:rsid w:val="00C05FE3"/>
    <w:rsid w:val="00C11A7B"/>
    <w:rsid w:val="00C120E2"/>
    <w:rsid w:val="00C12960"/>
    <w:rsid w:val="00C2136D"/>
    <w:rsid w:val="00C214EE"/>
    <w:rsid w:val="00C2314B"/>
    <w:rsid w:val="00C24971"/>
    <w:rsid w:val="00C25CCC"/>
    <w:rsid w:val="00C26BE5"/>
    <w:rsid w:val="00C26E4D"/>
    <w:rsid w:val="00C27909"/>
    <w:rsid w:val="00C27B03"/>
    <w:rsid w:val="00C314E1"/>
    <w:rsid w:val="00C34017"/>
    <w:rsid w:val="00C34397"/>
    <w:rsid w:val="00C36919"/>
    <w:rsid w:val="00C4095D"/>
    <w:rsid w:val="00C47A29"/>
    <w:rsid w:val="00C5029F"/>
    <w:rsid w:val="00C516D1"/>
    <w:rsid w:val="00C570FA"/>
    <w:rsid w:val="00C601D2"/>
    <w:rsid w:val="00C63C5C"/>
    <w:rsid w:val="00C65657"/>
    <w:rsid w:val="00C65BCC"/>
    <w:rsid w:val="00C66449"/>
    <w:rsid w:val="00C66970"/>
    <w:rsid w:val="00C71F53"/>
    <w:rsid w:val="00C73653"/>
    <w:rsid w:val="00C8012B"/>
    <w:rsid w:val="00C80431"/>
    <w:rsid w:val="00C8691C"/>
    <w:rsid w:val="00C9470E"/>
    <w:rsid w:val="00C97C6C"/>
    <w:rsid w:val="00CA168A"/>
    <w:rsid w:val="00CA357E"/>
    <w:rsid w:val="00CA44F9"/>
    <w:rsid w:val="00CA4A69"/>
    <w:rsid w:val="00CA706D"/>
    <w:rsid w:val="00CC3E0C"/>
    <w:rsid w:val="00CC54B3"/>
    <w:rsid w:val="00CC58D3"/>
    <w:rsid w:val="00CC63FD"/>
    <w:rsid w:val="00CC6EDC"/>
    <w:rsid w:val="00CC784D"/>
    <w:rsid w:val="00CD09E8"/>
    <w:rsid w:val="00CE4C5E"/>
    <w:rsid w:val="00CF789F"/>
    <w:rsid w:val="00D0337B"/>
    <w:rsid w:val="00D0512E"/>
    <w:rsid w:val="00D079B2"/>
    <w:rsid w:val="00D1088F"/>
    <w:rsid w:val="00D114E9"/>
    <w:rsid w:val="00D17587"/>
    <w:rsid w:val="00D265BE"/>
    <w:rsid w:val="00D27CE4"/>
    <w:rsid w:val="00D27FA1"/>
    <w:rsid w:val="00D3457C"/>
    <w:rsid w:val="00D34E97"/>
    <w:rsid w:val="00D36494"/>
    <w:rsid w:val="00D41D40"/>
    <w:rsid w:val="00D429C6"/>
    <w:rsid w:val="00D43FB5"/>
    <w:rsid w:val="00D473E2"/>
    <w:rsid w:val="00D47748"/>
    <w:rsid w:val="00D47B8B"/>
    <w:rsid w:val="00D53BC0"/>
    <w:rsid w:val="00D54CC3"/>
    <w:rsid w:val="00D6041A"/>
    <w:rsid w:val="00D62D70"/>
    <w:rsid w:val="00D633EB"/>
    <w:rsid w:val="00D63626"/>
    <w:rsid w:val="00D65937"/>
    <w:rsid w:val="00D665C3"/>
    <w:rsid w:val="00D70A21"/>
    <w:rsid w:val="00D7130A"/>
    <w:rsid w:val="00D82FF7"/>
    <w:rsid w:val="00D8353D"/>
    <w:rsid w:val="00D847FE"/>
    <w:rsid w:val="00D9006F"/>
    <w:rsid w:val="00D914D2"/>
    <w:rsid w:val="00D94DC7"/>
    <w:rsid w:val="00D964EA"/>
    <w:rsid w:val="00D966D0"/>
    <w:rsid w:val="00D97ABE"/>
    <w:rsid w:val="00DA0C59"/>
    <w:rsid w:val="00DA0FBF"/>
    <w:rsid w:val="00DA1587"/>
    <w:rsid w:val="00DA3991"/>
    <w:rsid w:val="00DA3F64"/>
    <w:rsid w:val="00DA47A4"/>
    <w:rsid w:val="00DA7296"/>
    <w:rsid w:val="00DB7E6C"/>
    <w:rsid w:val="00DC6A69"/>
    <w:rsid w:val="00DD5A29"/>
    <w:rsid w:val="00DD5D9D"/>
    <w:rsid w:val="00DD72E4"/>
    <w:rsid w:val="00DD7416"/>
    <w:rsid w:val="00DE09AE"/>
    <w:rsid w:val="00DE35CB"/>
    <w:rsid w:val="00DE4963"/>
    <w:rsid w:val="00DE73A7"/>
    <w:rsid w:val="00DF1F2D"/>
    <w:rsid w:val="00DF21E9"/>
    <w:rsid w:val="00DF2CE3"/>
    <w:rsid w:val="00DF456B"/>
    <w:rsid w:val="00E00F14"/>
    <w:rsid w:val="00E0617D"/>
    <w:rsid w:val="00E06386"/>
    <w:rsid w:val="00E24EB4"/>
    <w:rsid w:val="00E27ED8"/>
    <w:rsid w:val="00E320ED"/>
    <w:rsid w:val="00E33AFB"/>
    <w:rsid w:val="00E34218"/>
    <w:rsid w:val="00E46282"/>
    <w:rsid w:val="00E47548"/>
    <w:rsid w:val="00E5216E"/>
    <w:rsid w:val="00E53DAE"/>
    <w:rsid w:val="00E6165A"/>
    <w:rsid w:val="00E63981"/>
    <w:rsid w:val="00E6586E"/>
    <w:rsid w:val="00E77AE1"/>
    <w:rsid w:val="00E82344"/>
    <w:rsid w:val="00E84C82"/>
    <w:rsid w:val="00E84D64"/>
    <w:rsid w:val="00E86629"/>
    <w:rsid w:val="00E87408"/>
    <w:rsid w:val="00E914C4"/>
    <w:rsid w:val="00E934F5"/>
    <w:rsid w:val="00E963F2"/>
    <w:rsid w:val="00E967DC"/>
    <w:rsid w:val="00E96961"/>
    <w:rsid w:val="00EA1857"/>
    <w:rsid w:val="00EA3445"/>
    <w:rsid w:val="00EA3925"/>
    <w:rsid w:val="00EA4E3D"/>
    <w:rsid w:val="00EA72EC"/>
    <w:rsid w:val="00EB11CB"/>
    <w:rsid w:val="00EB275A"/>
    <w:rsid w:val="00EB786A"/>
    <w:rsid w:val="00EC1578"/>
    <w:rsid w:val="00EC167D"/>
    <w:rsid w:val="00EC1C72"/>
    <w:rsid w:val="00EC3CC9"/>
    <w:rsid w:val="00EC4984"/>
    <w:rsid w:val="00EC680A"/>
    <w:rsid w:val="00ED45D9"/>
    <w:rsid w:val="00ED6823"/>
    <w:rsid w:val="00ED6B96"/>
    <w:rsid w:val="00EE2BED"/>
    <w:rsid w:val="00EE374B"/>
    <w:rsid w:val="00EE4F53"/>
    <w:rsid w:val="00EE559D"/>
    <w:rsid w:val="00EE61A4"/>
    <w:rsid w:val="00F11BB5"/>
    <w:rsid w:val="00F1417B"/>
    <w:rsid w:val="00F21718"/>
    <w:rsid w:val="00F34B99"/>
    <w:rsid w:val="00F3678B"/>
    <w:rsid w:val="00F41722"/>
    <w:rsid w:val="00F43658"/>
    <w:rsid w:val="00F46E0A"/>
    <w:rsid w:val="00F52063"/>
    <w:rsid w:val="00F52BE5"/>
    <w:rsid w:val="00F52DAB"/>
    <w:rsid w:val="00F53CD8"/>
    <w:rsid w:val="00F543F0"/>
    <w:rsid w:val="00F63E65"/>
    <w:rsid w:val="00F67A7B"/>
    <w:rsid w:val="00F740FA"/>
    <w:rsid w:val="00F81C47"/>
    <w:rsid w:val="00F81D29"/>
    <w:rsid w:val="00F842E4"/>
    <w:rsid w:val="00F87801"/>
    <w:rsid w:val="00F91C4D"/>
    <w:rsid w:val="00F92FD9"/>
    <w:rsid w:val="00F954E6"/>
    <w:rsid w:val="00F95B33"/>
    <w:rsid w:val="00FA22F4"/>
    <w:rsid w:val="00FA6684"/>
    <w:rsid w:val="00FA731E"/>
    <w:rsid w:val="00FA75D9"/>
    <w:rsid w:val="00FA7D06"/>
    <w:rsid w:val="00FB1C78"/>
    <w:rsid w:val="00FB2B38"/>
    <w:rsid w:val="00FB3A82"/>
    <w:rsid w:val="00FB6530"/>
    <w:rsid w:val="00FC2D89"/>
    <w:rsid w:val="00FC4FE7"/>
    <w:rsid w:val="00FC6358"/>
    <w:rsid w:val="00FD320D"/>
    <w:rsid w:val="00FD5189"/>
    <w:rsid w:val="00FE23DE"/>
    <w:rsid w:val="00FE597D"/>
    <w:rsid w:val="00FE7CA9"/>
    <w:rsid w:val="00FF20FF"/>
    <w:rsid w:val="00FF31AB"/>
    <w:rsid w:val="017940F6"/>
    <w:rsid w:val="01A17C21"/>
    <w:rsid w:val="02615246"/>
    <w:rsid w:val="04143D36"/>
    <w:rsid w:val="04CA3FD2"/>
    <w:rsid w:val="063E6CA3"/>
    <w:rsid w:val="076A4324"/>
    <w:rsid w:val="08C70040"/>
    <w:rsid w:val="090272BF"/>
    <w:rsid w:val="098B1808"/>
    <w:rsid w:val="0A59400A"/>
    <w:rsid w:val="0BAC7A74"/>
    <w:rsid w:val="0C3D6054"/>
    <w:rsid w:val="0CD97ED5"/>
    <w:rsid w:val="0CE61874"/>
    <w:rsid w:val="0FD834B1"/>
    <w:rsid w:val="11FE13FB"/>
    <w:rsid w:val="12093EEE"/>
    <w:rsid w:val="12255EA0"/>
    <w:rsid w:val="12283C6A"/>
    <w:rsid w:val="1242388F"/>
    <w:rsid w:val="12A26BC5"/>
    <w:rsid w:val="12B94F65"/>
    <w:rsid w:val="13CF0394"/>
    <w:rsid w:val="17265F6F"/>
    <w:rsid w:val="172E75D6"/>
    <w:rsid w:val="17406B3C"/>
    <w:rsid w:val="17E23775"/>
    <w:rsid w:val="1A7028D3"/>
    <w:rsid w:val="1B001A9C"/>
    <w:rsid w:val="1BA07C05"/>
    <w:rsid w:val="1C93284A"/>
    <w:rsid w:val="1E3D7C8B"/>
    <w:rsid w:val="210015CD"/>
    <w:rsid w:val="2327505E"/>
    <w:rsid w:val="26CB13FC"/>
    <w:rsid w:val="28C72A07"/>
    <w:rsid w:val="29C71EE8"/>
    <w:rsid w:val="2AD64BBF"/>
    <w:rsid w:val="2CFE018A"/>
    <w:rsid w:val="2FBE7EAF"/>
    <w:rsid w:val="30B31AF5"/>
    <w:rsid w:val="31D31611"/>
    <w:rsid w:val="337834E7"/>
    <w:rsid w:val="339F19D0"/>
    <w:rsid w:val="355C6BB7"/>
    <w:rsid w:val="35665088"/>
    <w:rsid w:val="37734E9B"/>
    <w:rsid w:val="3990358D"/>
    <w:rsid w:val="3BB605D5"/>
    <w:rsid w:val="3BE65160"/>
    <w:rsid w:val="3BF94680"/>
    <w:rsid w:val="3F240D8F"/>
    <w:rsid w:val="3F697218"/>
    <w:rsid w:val="401D2D94"/>
    <w:rsid w:val="404C74ED"/>
    <w:rsid w:val="40C1694F"/>
    <w:rsid w:val="40DC4EC1"/>
    <w:rsid w:val="4212055C"/>
    <w:rsid w:val="44DE5058"/>
    <w:rsid w:val="459E7A28"/>
    <w:rsid w:val="46B57191"/>
    <w:rsid w:val="47711169"/>
    <w:rsid w:val="48331574"/>
    <w:rsid w:val="4A1817F0"/>
    <w:rsid w:val="4BD67C27"/>
    <w:rsid w:val="4DC32C24"/>
    <w:rsid w:val="52FA2E59"/>
    <w:rsid w:val="54776C5F"/>
    <w:rsid w:val="55CE704A"/>
    <w:rsid w:val="56FC6FC4"/>
    <w:rsid w:val="57892C92"/>
    <w:rsid w:val="60537EA2"/>
    <w:rsid w:val="62081174"/>
    <w:rsid w:val="620B7906"/>
    <w:rsid w:val="65A601CD"/>
    <w:rsid w:val="66633C51"/>
    <w:rsid w:val="69CC0345"/>
    <w:rsid w:val="6A0D1071"/>
    <w:rsid w:val="731E3420"/>
    <w:rsid w:val="747B6F0F"/>
    <w:rsid w:val="74962BD3"/>
    <w:rsid w:val="74C05F96"/>
    <w:rsid w:val="75E60314"/>
    <w:rsid w:val="773F754D"/>
    <w:rsid w:val="796C2BAC"/>
    <w:rsid w:val="7BC86C09"/>
    <w:rsid w:val="7C584FD4"/>
    <w:rsid w:val="7CD109D6"/>
    <w:rsid w:val="7E556D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99"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0"/>
    <w:qFormat/>
    <w:uiPriority w:val="9"/>
    <w:pPr>
      <w:keepNext/>
      <w:keepLines/>
      <w:spacing w:before="260" w:after="260" w:line="416" w:lineRule="auto"/>
      <w:jc w:val="left"/>
      <w:outlineLvl w:val="1"/>
    </w:pPr>
    <w:rPr>
      <w:rFonts w:ascii="Cambria" w:hAnsi="Cambria"/>
      <w:b/>
      <w:bCs/>
      <w:color w:val="000000"/>
      <w:kern w:val="0"/>
      <w:sz w:val="32"/>
      <w:szCs w:val="32"/>
      <w:lang w:eastAsia="en-US"/>
    </w:rPr>
  </w:style>
  <w:style w:type="paragraph" w:styleId="4">
    <w:name w:val="heading 3"/>
    <w:basedOn w:val="1"/>
    <w:next w:val="1"/>
    <w:link w:val="151"/>
    <w:qFormat/>
    <w:uiPriority w:val="9"/>
    <w:pPr>
      <w:keepNext/>
      <w:keepLines/>
      <w:spacing w:before="260" w:after="260" w:line="416" w:lineRule="auto"/>
      <w:jc w:val="left"/>
      <w:outlineLvl w:val="2"/>
    </w:pPr>
    <w:rPr>
      <w:rFonts w:ascii="MingLiU_HKSCS" w:hAnsi="MingLiU_HKSCS" w:eastAsia="MingLiU_HKSCS" w:cs="MingLiU_HKSCS"/>
      <w:b/>
      <w:bCs/>
      <w:color w:val="000000"/>
      <w:kern w:val="0"/>
      <w:sz w:val="32"/>
      <w:szCs w:val="32"/>
      <w:lang w:eastAsia="en-US"/>
    </w:rPr>
  </w:style>
  <w:style w:type="character" w:default="1" w:styleId="39">
    <w:name w:val="Default Paragraph Font"/>
    <w:unhideWhenUsed/>
    <w:qFormat/>
    <w:uiPriority w:val="1"/>
  </w:style>
  <w:style w:type="table" w:default="1" w:styleId="37">
    <w:name w:val="Normal Table"/>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Normal Indent"/>
    <w:basedOn w:val="1"/>
    <w:qFormat/>
    <w:uiPriority w:val="0"/>
    <w:pPr>
      <w:ind w:firstLine="420"/>
    </w:pPr>
    <w:rPr>
      <w:szCs w:val="20"/>
    </w:rPr>
  </w:style>
  <w:style w:type="paragraph" w:styleId="8">
    <w:name w:val="caption"/>
    <w:basedOn w:val="1"/>
    <w:next w:val="1"/>
    <w:qFormat/>
    <w:uiPriority w:val="35"/>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annotation text"/>
    <w:basedOn w:val="1"/>
    <w:link w:val="216"/>
    <w:unhideWhenUsed/>
    <w:qFormat/>
    <w:uiPriority w:val="99"/>
    <w:pPr>
      <w:jc w:val="left"/>
    </w:pPr>
    <w:rPr>
      <w:rFonts w:ascii="MingLiU_HKSCS" w:hAnsi="MingLiU_HKSCS" w:eastAsia="MingLiU_HKSCS" w:cs="MingLiU_HKSCS"/>
      <w:color w:val="000000"/>
      <w:kern w:val="0"/>
      <w:sz w:val="24"/>
      <w:lang w:eastAsia="en-US"/>
    </w:rPr>
  </w:style>
  <w:style w:type="paragraph" w:styleId="12">
    <w:name w:val="index 6"/>
    <w:basedOn w:val="1"/>
    <w:next w:val="1"/>
    <w:qFormat/>
    <w:uiPriority w:val="0"/>
    <w:pPr>
      <w:ind w:left="1260" w:hanging="210"/>
      <w:jc w:val="left"/>
    </w:pPr>
    <w:rPr>
      <w:rFonts w:ascii="Calibri" w:hAnsi="Calibri"/>
      <w:sz w:val="20"/>
      <w:szCs w:val="20"/>
    </w:rPr>
  </w:style>
  <w:style w:type="paragraph" w:styleId="13">
    <w:name w:val="Body Text"/>
    <w:basedOn w:val="1"/>
    <w:link w:val="147"/>
    <w:qFormat/>
    <w:uiPriority w:val="1"/>
    <w:pPr>
      <w:autoSpaceDE w:val="0"/>
      <w:autoSpaceDN w:val="0"/>
      <w:adjustRightInd w:val="0"/>
      <w:ind w:left="475"/>
      <w:jc w:val="left"/>
    </w:pPr>
    <w:rPr>
      <w:rFonts w:ascii="Arial" w:hAnsi="Arial" w:cs="Arial"/>
      <w:kern w:val="0"/>
      <w:sz w:val="20"/>
      <w:szCs w:val="20"/>
    </w:rPr>
  </w:style>
  <w:style w:type="paragraph" w:styleId="14">
    <w:name w:val="index 4"/>
    <w:basedOn w:val="1"/>
    <w:next w:val="1"/>
    <w:qFormat/>
    <w:uiPriority w:val="0"/>
    <w:pPr>
      <w:ind w:left="840" w:hanging="210"/>
      <w:jc w:val="left"/>
    </w:pPr>
    <w:rPr>
      <w:rFonts w:ascii="Calibri" w:hAnsi="Calibri"/>
      <w:sz w:val="20"/>
      <w:szCs w:val="20"/>
    </w:rPr>
  </w:style>
  <w:style w:type="paragraph" w:styleId="15">
    <w:name w:val="toc 5"/>
    <w:basedOn w:val="1"/>
    <w:next w:val="1"/>
    <w:semiHidden/>
    <w:qFormat/>
    <w:uiPriority w:val="0"/>
    <w:pPr>
      <w:tabs>
        <w:tab w:val="right" w:leader="dot" w:pos="9241"/>
      </w:tabs>
      <w:ind w:firstLine="300" w:firstLineChars="300"/>
      <w:jc w:val="left"/>
    </w:pPr>
    <w:rPr>
      <w:rFonts w:ascii="宋体"/>
      <w:szCs w:val="21"/>
    </w:rPr>
  </w:style>
  <w:style w:type="paragraph" w:styleId="16">
    <w:name w:val="toc 3"/>
    <w:basedOn w:val="1"/>
    <w:next w:val="1"/>
    <w:qFormat/>
    <w:uiPriority w:val="39"/>
    <w:pPr>
      <w:tabs>
        <w:tab w:val="right" w:leader="dot" w:pos="9241"/>
      </w:tabs>
      <w:ind w:firstLine="100" w:firstLineChars="100"/>
      <w:jc w:val="left"/>
    </w:pPr>
    <w:rPr>
      <w:rFonts w:ascii="宋体"/>
      <w:szCs w:val="21"/>
    </w:rPr>
  </w:style>
  <w:style w:type="paragraph" w:styleId="17">
    <w:name w:val="Plain Text"/>
    <w:basedOn w:val="1"/>
    <w:link w:val="144"/>
    <w:qFormat/>
    <w:uiPriority w:val="0"/>
    <w:rPr>
      <w:rFonts w:ascii="宋体" w:hAnsi="Courier New"/>
      <w:szCs w:val="20"/>
    </w:rPr>
  </w:style>
  <w:style w:type="paragraph" w:styleId="18">
    <w:name w:val="toc 8"/>
    <w:basedOn w:val="1"/>
    <w:next w:val="1"/>
    <w:semiHidden/>
    <w:qFormat/>
    <w:uiPriority w:val="0"/>
    <w:pPr>
      <w:tabs>
        <w:tab w:val="right" w:leader="dot" w:pos="9241"/>
      </w:tabs>
      <w:ind w:firstLine="607" w:firstLineChars="600"/>
      <w:jc w:val="left"/>
    </w:pPr>
    <w:rPr>
      <w:rFonts w:ascii="宋体"/>
      <w:szCs w:val="21"/>
    </w:rPr>
  </w:style>
  <w:style w:type="paragraph" w:styleId="19">
    <w:name w:val="index 3"/>
    <w:basedOn w:val="1"/>
    <w:next w:val="1"/>
    <w:qFormat/>
    <w:uiPriority w:val="0"/>
    <w:pPr>
      <w:ind w:left="630" w:hanging="210"/>
      <w:jc w:val="left"/>
    </w:pPr>
    <w:rPr>
      <w:rFonts w:ascii="Calibri" w:hAnsi="Calibri"/>
      <w:sz w:val="20"/>
      <w:szCs w:val="20"/>
    </w:rPr>
  </w:style>
  <w:style w:type="paragraph" w:styleId="20">
    <w:name w:val="endnote text"/>
    <w:basedOn w:val="1"/>
    <w:semiHidden/>
    <w:qFormat/>
    <w:uiPriority w:val="0"/>
    <w:pPr>
      <w:snapToGrid w:val="0"/>
      <w:jc w:val="left"/>
    </w:pPr>
  </w:style>
  <w:style w:type="paragraph" w:styleId="21">
    <w:name w:val="Balloon Text"/>
    <w:basedOn w:val="1"/>
    <w:link w:val="142"/>
    <w:qFormat/>
    <w:uiPriority w:val="99"/>
    <w:rPr>
      <w:sz w:val="18"/>
      <w:szCs w:val="18"/>
    </w:rPr>
  </w:style>
  <w:style w:type="paragraph" w:styleId="22">
    <w:name w:val="footer"/>
    <w:basedOn w:val="1"/>
    <w:link w:val="213"/>
    <w:qFormat/>
    <w:uiPriority w:val="99"/>
    <w:pPr>
      <w:snapToGrid w:val="0"/>
      <w:ind w:right="210" w:rightChars="100"/>
      <w:jc w:val="right"/>
    </w:pPr>
    <w:rPr>
      <w:sz w:val="18"/>
      <w:szCs w:val="18"/>
    </w:rPr>
  </w:style>
  <w:style w:type="paragraph" w:styleId="23">
    <w:name w:val="header"/>
    <w:basedOn w:val="1"/>
    <w:link w:val="212"/>
    <w:qFormat/>
    <w:uiPriority w:val="99"/>
    <w:pPr>
      <w:snapToGrid w:val="0"/>
      <w:jc w:val="left"/>
    </w:pPr>
    <w:rPr>
      <w:sz w:val="18"/>
      <w:szCs w:val="18"/>
    </w:rPr>
  </w:style>
  <w:style w:type="paragraph" w:styleId="24">
    <w:name w:val="toc 1"/>
    <w:basedOn w:val="1"/>
    <w:next w:val="1"/>
    <w:link w:val="177"/>
    <w:qFormat/>
    <w:uiPriority w:val="39"/>
    <w:pPr>
      <w:tabs>
        <w:tab w:val="right" w:leader="dot" w:pos="9242"/>
      </w:tabs>
      <w:spacing w:before="25" w:beforeLines="25" w:after="25" w:afterLines="25"/>
      <w:jc w:val="left"/>
    </w:pPr>
    <w:rPr>
      <w:rFonts w:ascii="宋体"/>
      <w:szCs w:val="21"/>
    </w:rPr>
  </w:style>
  <w:style w:type="paragraph" w:styleId="25">
    <w:name w:val="toc 4"/>
    <w:basedOn w:val="1"/>
    <w:next w:val="1"/>
    <w:qFormat/>
    <w:uiPriority w:val="39"/>
    <w:pPr>
      <w:tabs>
        <w:tab w:val="right" w:leader="dot" w:pos="9241"/>
      </w:tabs>
      <w:ind w:firstLine="200" w:firstLineChars="200"/>
      <w:jc w:val="left"/>
    </w:pPr>
    <w:rPr>
      <w:rFonts w:ascii="宋体"/>
      <w:szCs w:val="21"/>
    </w:rPr>
  </w:style>
  <w:style w:type="paragraph" w:styleId="26">
    <w:name w:val="index heading"/>
    <w:basedOn w:val="1"/>
    <w:next w:val="27"/>
    <w:qFormat/>
    <w:uiPriority w:val="0"/>
    <w:pPr>
      <w:spacing w:before="120" w:after="120"/>
      <w:jc w:val="center"/>
    </w:pPr>
    <w:rPr>
      <w:rFonts w:ascii="Calibri" w:hAnsi="Calibri"/>
      <w:b/>
      <w:bCs/>
      <w:iCs/>
      <w:szCs w:val="20"/>
    </w:rPr>
  </w:style>
  <w:style w:type="paragraph" w:styleId="27">
    <w:name w:val="index 1"/>
    <w:basedOn w:val="1"/>
    <w:next w:val="28"/>
    <w:qFormat/>
    <w:uiPriority w:val="0"/>
    <w:pPr>
      <w:tabs>
        <w:tab w:val="right" w:leader="dot" w:pos="9299"/>
      </w:tabs>
      <w:jc w:val="left"/>
    </w:pPr>
    <w:rPr>
      <w:rFonts w:ascii="宋体"/>
      <w:szCs w:val="21"/>
    </w:rPr>
  </w:style>
  <w:style w:type="paragraph" w:customStyle="1" w:styleId="28">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1"/>
      </w:numPr>
      <w:snapToGrid w:val="0"/>
      <w:jc w:val="left"/>
    </w:pPr>
    <w:rPr>
      <w:rFonts w:ascii="宋体"/>
      <w:sz w:val="18"/>
      <w:szCs w:val="18"/>
    </w:rPr>
  </w:style>
  <w:style w:type="paragraph" w:styleId="30">
    <w:name w:val="toc 6"/>
    <w:basedOn w:val="1"/>
    <w:next w:val="1"/>
    <w:semiHidden/>
    <w:qFormat/>
    <w:uiPriority w:val="0"/>
    <w:pPr>
      <w:tabs>
        <w:tab w:val="right" w:leader="dot" w:pos="9241"/>
      </w:tabs>
      <w:ind w:firstLine="400" w:firstLineChars="400"/>
      <w:jc w:val="left"/>
    </w:pPr>
    <w:rPr>
      <w:rFonts w:ascii="宋体"/>
      <w:szCs w:val="21"/>
    </w:rPr>
  </w:style>
  <w:style w:type="paragraph" w:styleId="31">
    <w:name w:val="index 7"/>
    <w:basedOn w:val="1"/>
    <w:next w:val="1"/>
    <w:qFormat/>
    <w:uiPriority w:val="0"/>
    <w:pPr>
      <w:ind w:left="1470" w:hanging="210"/>
      <w:jc w:val="left"/>
    </w:pPr>
    <w:rPr>
      <w:rFonts w:ascii="Calibri" w:hAnsi="Calibri"/>
      <w:sz w:val="20"/>
      <w:szCs w:val="20"/>
    </w:rPr>
  </w:style>
  <w:style w:type="paragraph" w:styleId="32">
    <w:name w:val="index 9"/>
    <w:basedOn w:val="1"/>
    <w:next w:val="1"/>
    <w:qFormat/>
    <w:uiPriority w:val="0"/>
    <w:pPr>
      <w:ind w:left="1890" w:hanging="210"/>
      <w:jc w:val="left"/>
    </w:pPr>
    <w:rPr>
      <w:rFonts w:ascii="Calibri" w:hAnsi="Calibri"/>
      <w:sz w:val="20"/>
      <w:szCs w:val="20"/>
    </w:rPr>
  </w:style>
  <w:style w:type="paragraph" w:styleId="33">
    <w:name w:val="toc 2"/>
    <w:basedOn w:val="1"/>
    <w:next w:val="1"/>
    <w:qFormat/>
    <w:uiPriority w:val="39"/>
    <w:pPr>
      <w:tabs>
        <w:tab w:val="right" w:leader="dot" w:pos="9242"/>
      </w:tabs>
    </w:pPr>
    <w:rPr>
      <w:rFonts w:ascii="宋体"/>
      <w:szCs w:val="21"/>
    </w:rPr>
  </w:style>
  <w:style w:type="paragraph" w:styleId="34">
    <w:name w:val="toc 9"/>
    <w:basedOn w:val="1"/>
    <w:next w:val="1"/>
    <w:semiHidden/>
    <w:qFormat/>
    <w:uiPriority w:val="0"/>
    <w:pPr>
      <w:ind w:left="1470"/>
      <w:jc w:val="left"/>
    </w:pPr>
    <w:rPr>
      <w:sz w:val="20"/>
      <w:szCs w:val="20"/>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1"/>
    <w:next w:val="11"/>
    <w:link w:val="217"/>
    <w:unhideWhenUsed/>
    <w:qFormat/>
    <w:uiPriority w:val="99"/>
    <w:rPr>
      <w:b/>
      <w:bCs/>
    </w:rPr>
  </w:style>
  <w:style w:type="table" w:styleId="38">
    <w:name w:val="Table Grid"/>
    <w:basedOn w:val="37"/>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endnote reference"/>
    <w:semiHidden/>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99"/>
    <w:rPr>
      <w:color w:val="800080"/>
      <w:u w:val="single"/>
    </w:rPr>
  </w:style>
  <w:style w:type="character" w:styleId="43">
    <w:name w:val="Hyperlink"/>
    <w:qFormat/>
    <w:uiPriority w:val="99"/>
    <w:rPr>
      <w:color w:val="0000FF"/>
      <w:spacing w:val="0"/>
      <w:w w:val="100"/>
      <w:szCs w:val="21"/>
      <w:u w:val="single"/>
    </w:rPr>
  </w:style>
  <w:style w:type="character" w:styleId="44">
    <w:name w:val="annotation reference"/>
    <w:unhideWhenUsed/>
    <w:qFormat/>
    <w:uiPriority w:val="99"/>
    <w:rPr>
      <w:sz w:val="21"/>
      <w:szCs w:val="21"/>
    </w:rPr>
  </w:style>
  <w:style w:type="character" w:styleId="45">
    <w:name w:val="footnote reference"/>
    <w:semiHidden/>
    <w:qFormat/>
    <w:uiPriority w:val="0"/>
    <w:rPr>
      <w:vertAlign w:val="superscript"/>
    </w:rPr>
  </w:style>
  <w:style w:type="character" w:customStyle="1" w:styleId="46">
    <w:name w:val="段 Char"/>
    <w:link w:val="28"/>
    <w:qFormat/>
    <w:uiPriority w:val="0"/>
    <w:rPr>
      <w:rFonts w:ascii="宋体"/>
      <w:sz w:val="21"/>
      <w:lang w:val="en-US" w:eastAsia="zh-CN" w:bidi="ar-SA"/>
    </w:rPr>
  </w:style>
  <w:style w:type="paragraph" w:customStyle="1" w:styleId="47">
    <w:name w:val="一级条标题"/>
    <w:next w:val="28"/>
    <w:link w:val="145"/>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8"/>
    <w:qFormat/>
    <w:uiPriority w:val="99"/>
    <w:pPr>
      <w:spacing w:before="100" w:beforeLines="100" w:after="100"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8"/>
    <w:qFormat/>
    <w:uiPriority w:val="0"/>
    <w:pPr>
      <w:spacing w:before="50" w:after="50"/>
      <w:outlineLvl w:val="3"/>
    </w:pPr>
  </w:style>
  <w:style w:type="paragraph" w:customStyle="1" w:styleId="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54">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8"/>
    <w:qFormat/>
    <w:uiPriority w:val="0"/>
    <w:pPr>
      <w:outlineLvl w:val="4"/>
    </w:pPr>
  </w:style>
  <w:style w:type="paragraph" w:customStyle="1" w:styleId="57">
    <w:name w:val="示例"/>
    <w:next w:val="58"/>
    <w:qFormat/>
    <w:uiPriority w:val="0"/>
    <w:pPr>
      <w:widowControl w:val="0"/>
      <w:numPr>
        <w:ilvl w:val="0"/>
        <w:numId w:val="3"/>
      </w:numPr>
      <w:jc w:val="both"/>
    </w:pPr>
    <w:rPr>
      <w:rFonts w:ascii="宋体" w:hAnsi="Times New Roman" w:eastAsia="宋体" w:cs="Times New Roman"/>
      <w:sz w:val="18"/>
      <w:szCs w:val="18"/>
      <w:lang w:val="en-US" w:eastAsia="zh-CN" w:bidi="ar-SA"/>
    </w:rPr>
  </w:style>
  <w:style w:type="paragraph" w:customStyle="1" w:styleId="5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60">
    <w:name w:val="四级条标题"/>
    <w:basedOn w:val="56"/>
    <w:next w:val="28"/>
    <w:qFormat/>
    <w:uiPriority w:val="0"/>
    <w:pPr>
      <w:outlineLvl w:val="5"/>
    </w:pPr>
  </w:style>
  <w:style w:type="paragraph" w:customStyle="1" w:styleId="61">
    <w:name w:val="五级条标题"/>
    <w:basedOn w:val="60"/>
    <w:next w:val="28"/>
    <w:qFormat/>
    <w:uiPriority w:val="0"/>
    <w:pPr>
      <w:outlineLvl w:val="6"/>
    </w:pPr>
  </w:style>
  <w:style w:type="paragraph" w:customStyle="1" w:styleId="62">
    <w:name w:val="注："/>
    <w:next w:val="28"/>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2"/>
      </w:numPr>
    </w:pPr>
    <w:rPr>
      <w:rFonts w:ascii="宋体"/>
      <w:szCs w:val="21"/>
    </w:rPr>
  </w:style>
  <w:style w:type="paragraph" w:customStyle="1" w:styleId="66">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7">
    <w:name w:val="示例×："/>
    <w:basedOn w:val="50"/>
    <w:qFormat/>
    <w:uiPriority w:val="0"/>
    <w:pPr>
      <w:numPr>
        <w:ilvl w:val="0"/>
        <w:numId w:val="7"/>
      </w:numPr>
      <w:spacing w:before="0" w:beforeLines="0" w:after="0" w:afterLines="0"/>
      <w:outlineLvl w:val="9"/>
    </w:pPr>
    <w:rPr>
      <w:rFonts w:ascii="宋体" w:eastAsia="宋体"/>
      <w:sz w:val="18"/>
      <w:szCs w:val="18"/>
    </w:rPr>
  </w:style>
  <w:style w:type="paragraph" w:customStyle="1" w:styleId="68">
    <w:name w:val="二级无"/>
    <w:basedOn w:val="51"/>
    <w:qFormat/>
    <w:uiPriority w:val="0"/>
    <w:pPr>
      <w:spacing w:before="0" w:beforeLines="0" w:after="0" w:afterLines="0"/>
    </w:pPr>
    <w:rPr>
      <w:rFonts w:ascii="宋体" w:eastAsia="宋体"/>
    </w:rPr>
  </w:style>
  <w:style w:type="paragraph" w:customStyle="1" w:styleId="69">
    <w:name w:val="注：（正文）"/>
    <w:basedOn w:val="62"/>
    <w:next w:val="28"/>
    <w:qFormat/>
    <w:uiPriority w:val="0"/>
  </w:style>
  <w:style w:type="paragraph" w:customStyle="1" w:styleId="70">
    <w:name w:val="注×：（正文）"/>
    <w:qFormat/>
    <w:uiPriority w:val="0"/>
    <w:pPr>
      <w:numPr>
        <w:ilvl w:val="0"/>
        <w:numId w:val="8"/>
      </w:numPr>
      <w:jc w:val="both"/>
    </w:pPr>
    <w:rPr>
      <w:rFonts w:ascii="宋体" w:hAnsi="Times New Roman" w:eastAsia="宋体" w:cs="Times New Roman"/>
      <w:sz w:val="18"/>
      <w:szCs w:val="18"/>
      <w:lang w:val="en-US" w:eastAsia="zh-CN" w:bidi="ar-SA"/>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qFormat/>
    <w:uiPriority w:val="0"/>
    <w:pPr>
      <w:jc w:val="left"/>
    </w:p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qFormat/>
    <w:uiPriority w:val="0"/>
    <w:rPr>
      <w:rFonts w:ascii="黑体" w:eastAsia="黑体"/>
      <w:spacing w:val="85"/>
      <w:w w:val="100"/>
      <w:position w:val="3"/>
      <w:sz w:val="28"/>
      <w:szCs w:val="28"/>
    </w:rPr>
  </w:style>
  <w:style w:type="paragraph" w:customStyle="1" w:styleId="79">
    <w:name w:val="发布部门"/>
    <w:next w:val="2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qFormat/>
    <w:uiPriority w:val="0"/>
    <w:pPr>
      <w:spacing w:before="370" w:line="400" w:lineRule="exact"/>
    </w:pPr>
    <w:rPr>
      <w:rFonts w:ascii="Times New Roman"/>
      <w:sz w:val="28"/>
      <w:szCs w:val="28"/>
    </w:rPr>
  </w:style>
  <w:style w:type="paragraph" w:customStyle="1" w:styleId="85">
    <w:name w:val="封面一致性程度标识"/>
    <w:basedOn w:val="84"/>
    <w:qFormat/>
    <w:uiPriority w:val="0"/>
    <w:pPr>
      <w:spacing w:before="440"/>
    </w:pPr>
    <w:rPr>
      <w:rFonts w:ascii="宋体" w:eastAsia="宋体"/>
    </w:rPr>
  </w:style>
  <w:style w:type="paragraph" w:customStyle="1" w:styleId="86">
    <w:name w:val="封面标准文稿类别"/>
    <w:basedOn w:val="85"/>
    <w:qFormat/>
    <w:uiPriority w:val="0"/>
    <w:pPr>
      <w:spacing w:after="160" w:line="240" w:lineRule="auto"/>
    </w:pPr>
    <w:rPr>
      <w:sz w:val="24"/>
    </w:rPr>
  </w:style>
  <w:style w:type="paragraph" w:customStyle="1" w:styleId="87">
    <w:name w:val="封面标准文稿编辑信息"/>
    <w:basedOn w:val="86"/>
    <w:qFormat/>
    <w:uiPriority w:val="0"/>
    <w:pPr>
      <w:spacing w:before="180" w:line="180" w:lineRule="exact"/>
    </w:pPr>
    <w:rPr>
      <w:sz w:val="21"/>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8"/>
    <w:qFormat/>
    <w:uiPriority w:val="0"/>
    <w:pPr>
      <w:keepNext/>
      <w:widowControl/>
      <w:numPr>
        <w:ilvl w:val="0"/>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90">
    <w:name w:val="附录标题"/>
    <w:basedOn w:val="28"/>
    <w:next w:val="28"/>
    <w:qFormat/>
    <w:uiPriority w:val="0"/>
    <w:pPr>
      <w:ind w:firstLine="0" w:firstLineChars="0"/>
      <w:jc w:val="center"/>
    </w:pPr>
    <w:rPr>
      <w:rFonts w:ascii="黑体" w:eastAsia="黑体"/>
    </w:rPr>
  </w:style>
  <w:style w:type="paragraph" w:customStyle="1" w:styleId="91">
    <w:name w:val="附录表标号"/>
    <w:basedOn w:val="1"/>
    <w:next w:val="28"/>
    <w:qFormat/>
    <w:uiPriority w:val="0"/>
    <w:pPr>
      <w:numPr>
        <w:ilvl w:val="0"/>
        <w:numId w:val="10"/>
      </w:numPr>
      <w:tabs>
        <w:tab w:val="clear" w:pos="0"/>
      </w:tabs>
      <w:spacing w:line="14" w:lineRule="exact"/>
      <w:ind w:left="811" w:hanging="448"/>
      <w:jc w:val="center"/>
      <w:outlineLvl w:val="0"/>
    </w:pPr>
    <w:rPr>
      <w:color w:val="FFFFFF"/>
    </w:rPr>
  </w:style>
  <w:style w:type="paragraph" w:customStyle="1" w:styleId="92">
    <w:name w:val="附录表标题"/>
    <w:basedOn w:val="1"/>
    <w:next w:val="28"/>
    <w:qFormat/>
    <w:uiPriority w:val="0"/>
    <w:pPr>
      <w:numPr>
        <w:ilvl w:val="1"/>
        <w:numId w:val="10"/>
      </w:numPr>
      <w:tabs>
        <w:tab w:val="left" w:pos="180"/>
      </w:tabs>
      <w:spacing w:before="50" w:beforeLines="50" w:after="50" w:afterLines="50"/>
      <w:ind w:left="0" w:firstLine="0"/>
      <w:jc w:val="center"/>
    </w:pPr>
    <w:rPr>
      <w:rFonts w:ascii="黑体" w:eastAsia="黑体"/>
      <w:szCs w:val="21"/>
    </w:rPr>
  </w:style>
  <w:style w:type="paragraph" w:customStyle="1" w:styleId="93">
    <w:name w:val="附录二级条标题"/>
    <w:basedOn w:val="1"/>
    <w:next w:val="28"/>
    <w:qFormat/>
    <w:uiPriority w:val="0"/>
    <w:pPr>
      <w:widowControl/>
      <w:numPr>
        <w:ilvl w:val="3"/>
        <w:numId w:val="9"/>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qFormat/>
    <w:uiPriority w:val="0"/>
    <w:pPr>
      <w:tabs>
        <w:tab w:val="clear" w:pos="360"/>
      </w:tabs>
      <w:spacing w:before="0" w:beforeLines="0" w:after="0" w:afterLines="0"/>
    </w:pPr>
    <w:rPr>
      <w:rFonts w:ascii="宋体" w:eastAsia="宋体"/>
      <w:szCs w:val="21"/>
    </w:rPr>
  </w:style>
  <w:style w:type="paragraph" w:customStyle="1" w:styleId="95">
    <w:name w:val="附录公式"/>
    <w:basedOn w:val="28"/>
    <w:next w:val="28"/>
    <w:link w:val="96"/>
    <w:qFormat/>
    <w:uiPriority w:val="0"/>
  </w:style>
  <w:style w:type="character" w:customStyle="1" w:styleId="96">
    <w:name w:val="附录公式 Char"/>
    <w:basedOn w:val="46"/>
    <w:link w:val="95"/>
    <w:qFormat/>
    <w:uiPriority w:val="0"/>
    <w:rPr>
      <w:rFonts w:ascii="宋体"/>
      <w:sz w:val="21"/>
      <w:lang w:val="en-US" w:eastAsia="zh-CN" w:bidi="ar-SA"/>
    </w:rPr>
  </w:style>
  <w:style w:type="paragraph" w:customStyle="1" w:styleId="97">
    <w:name w:val="附录公式编号制表符"/>
    <w:basedOn w:val="1"/>
    <w:next w:val="28"/>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8"/>
    <w:qFormat/>
    <w:uiPriority w:val="0"/>
    <w:pPr>
      <w:numPr>
        <w:ilvl w:val="4"/>
      </w:numPr>
      <w:outlineLvl w:val="4"/>
    </w:pPr>
  </w:style>
  <w:style w:type="paragraph" w:customStyle="1" w:styleId="99">
    <w:name w:val="附录三级无"/>
    <w:basedOn w:val="98"/>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qFormat/>
    <w:uiPriority w:val="0"/>
    <w:pPr>
      <w:numPr>
        <w:ilvl w:val="1"/>
        <w:numId w:val="11"/>
      </w:numPr>
    </w:pPr>
    <w:rPr>
      <w:rFonts w:ascii="宋体" w:hAnsi="Times New Roman" w:eastAsia="宋体" w:cs="Times New Roman"/>
      <w:sz w:val="21"/>
      <w:lang w:val="en-US" w:eastAsia="zh-CN" w:bidi="ar-SA"/>
    </w:rPr>
  </w:style>
  <w:style w:type="paragraph" w:customStyle="1" w:styleId="101">
    <w:name w:val="附录四级条标题"/>
    <w:basedOn w:val="98"/>
    <w:next w:val="28"/>
    <w:qFormat/>
    <w:uiPriority w:val="0"/>
    <w:pPr>
      <w:numPr>
        <w:ilvl w:val="5"/>
      </w:numPr>
      <w:outlineLvl w:val="5"/>
    </w:pPr>
  </w:style>
  <w:style w:type="paragraph" w:customStyle="1" w:styleId="102">
    <w:name w:val="附录四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qFormat/>
    <w:uiPriority w:val="0"/>
    <w:pPr>
      <w:keepNext/>
      <w:pageBreakBefore/>
      <w:widowControl/>
      <w:numPr>
        <w:ilvl w:val="0"/>
        <w:numId w:val="12"/>
      </w:numPr>
      <w:spacing w:line="14" w:lineRule="exact"/>
      <w:ind w:left="0" w:firstLine="363"/>
      <w:jc w:val="center"/>
      <w:outlineLvl w:val="0"/>
    </w:pPr>
    <w:rPr>
      <w:color w:val="FFFFFF"/>
    </w:rPr>
  </w:style>
  <w:style w:type="paragraph" w:customStyle="1" w:styleId="104">
    <w:name w:val="附录图标题"/>
    <w:basedOn w:val="1"/>
    <w:next w:val="28"/>
    <w:qFormat/>
    <w:uiPriority w:val="0"/>
    <w:pPr>
      <w:numPr>
        <w:ilvl w:val="1"/>
        <w:numId w:val="12"/>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8"/>
    <w:qFormat/>
    <w:uiPriority w:val="0"/>
    <w:pPr>
      <w:numPr>
        <w:ilvl w:val="6"/>
      </w:numPr>
      <w:outlineLvl w:val="6"/>
    </w:pPr>
  </w:style>
  <w:style w:type="paragraph" w:customStyle="1" w:styleId="106">
    <w:name w:val="附录五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章标题"/>
    <w:next w:val="28"/>
    <w:qFormat/>
    <w:uiPriority w:val="0"/>
    <w:pPr>
      <w:numPr>
        <w:ilvl w:val="1"/>
        <w:numId w:val="9"/>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8"/>
    <w:qFormat/>
    <w:uiPriority w:val="0"/>
    <w:pPr>
      <w:numPr>
        <w:ilvl w:val="2"/>
      </w:numPr>
      <w:autoSpaceDN w:val="0"/>
      <w:spacing w:before="50" w:beforeLines="50" w:after="50" w:afterLines="50"/>
      <w:outlineLvl w:val="2"/>
    </w:pPr>
  </w:style>
  <w:style w:type="paragraph" w:customStyle="1" w:styleId="109">
    <w:name w:val="附录一级无"/>
    <w:basedOn w:val="108"/>
    <w:qFormat/>
    <w:uiPriority w:val="0"/>
    <w:pPr>
      <w:spacing w:before="0" w:beforeLines="0" w:after="0" w:afterLines="0"/>
    </w:pPr>
    <w:rPr>
      <w:rFonts w:ascii="宋体" w:eastAsia="宋体"/>
      <w:szCs w:val="21"/>
    </w:rPr>
  </w:style>
  <w:style w:type="paragraph" w:customStyle="1" w:styleId="110">
    <w:name w:val="附录字母编号列项（一级）"/>
    <w:qFormat/>
    <w:uiPriority w:val="0"/>
    <w:pPr>
      <w:numPr>
        <w:ilvl w:val="0"/>
        <w:numId w:val="11"/>
      </w:numPr>
    </w:pPr>
    <w:rPr>
      <w:rFonts w:ascii="宋体" w:hAnsi="Times New Roman" w:eastAsia="宋体" w:cs="Times New Roman"/>
      <w:sz w:val="21"/>
      <w:lang w:val="en-US" w:eastAsia="zh-CN" w:bidi="ar-SA"/>
    </w:rPr>
  </w:style>
  <w:style w:type="paragraph" w:customStyle="1" w:styleId="11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qFormat/>
    <w:uiPriority w:val="0"/>
    <w:pPr>
      <w:framePr w:w="6101" w:vAnchor="page" w:hAnchor="page" w:x="4673" w:y="942"/>
    </w:pPr>
    <w:rPr>
      <w:w w:val="130"/>
    </w:rPr>
  </w:style>
  <w:style w:type="paragraph" w:customStyle="1" w:styleId="11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qFormat/>
    <w:uiPriority w:val="0"/>
    <w:pPr>
      <w:framePr w:y="15310"/>
      <w:spacing w:line="0" w:lineRule="atLeast"/>
    </w:pPr>
    <w:rPr>
      <w:rFonts w:ascii="黑体" w:eastAsia="黑体"/>
      <w:b w:val="0"/>
    </w:rPr>
  </w:style>
  <w:style w:type="paragraph" w:customStyle="1" w:styleId="117">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qFormat/>
    <w:uiPriority w:val="0"/>
    <w:pPr>
      <w:spacing w:before="0" w:beforeLines="0" w:after="0" w:afterLines="0"/>
    </w:pPr>
    <w:rPr>
      <w:rFonts w:ascii="宋体" w:eastAsia="宋体"/>
    </w:rPr>
  </w:style>
  <w:style w:type="paragraph" w:customStyle="1" w:styleId="119">
    <w:name w:val="实施日期"/>
    <w:basedOn w:val="80"/>
    <w:qFormat/>
    <w:uiPriority w:val="0"/>
    <w:pPr>
      <w:framePr w:vAnchor="page" w:hAnchor="text"/>
      <w:jc w:val="right"/>
    </w:pPr>
  </w:style>
  <w:style w:type="paragraph" w:customStyle="1" w:styleId="120">
    <w:name w:val="示例后文字"/>
    <w:basedOn w:val="28"/>
    <w:next w:val="28"/>
    <w:qFormat/>
    <w:uiPriority w:val="0"/>
    <w:pPr>
      <w:ind w:firstLine="360"/>
    </w:pPr>
    <w:rPr>
      <w:sz w:val="18"/>
    </w:rPr>
  </w:style>
  <w:style w:type="paragraph" w:customStyle="1" w:styleId="121">
    <w:name w:val="首示例"/>
    <w:next w:val="28"/>
    <w:link w:val="122"/>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qFormat/>
    <w:uiPriority w:val="0"/>
    <w:rPr>
      <w:rFonts w:ascii="宋体" w:hAnsi="宋体"/>
      <w:kern w:val="2"/>
      <w:sz w:val="18"/>
      <w:szCs w:val="18"/>
    </w:rPr>
  </w:style>
  <w:style w:type="paragraph" w:customStyle="1" w:styleId="123">
    <w:name w:val="四级无"/>
    <w:basedOn w:val="60"/>
    <w:qFormat/>
    <w:uiPriority w:val="0"/>
    <w:pPr>
      <w:spacing w:before="0" w:beforeLines="0" w:after="0" w:afterLines="0"/>
    </w:pPr>
    <w:rPr>
      <w:rFonts w:ascii="宋体" w:eastAsia="宋体"/>
    </w:rPr>
  </w:style>
  <w:style w:type="paragraph" w:customStyle="1" w:styleId="124">
    <w:name w:val="条文脚注"/>
    <w:basedOn w:val="29"/>
    <w:qFormat/>
    <w:uiPriority w:val="0"/>
    <w:pPr>
      <w:numPr>
        <w:numId w:val="0"/>
      </w:numPr>
      <w:jc w:val="both"/>
    </w:pPr>
  </w:style>
  <w:style w:type="paragraph" w:customStyle="1" w:styleId="125">
    <w:name w:val="图标脚注说明"/>
    <w:basedOn w:val="28"/>
    <w:qFormat/>
    <w:uiPriority w:val="0"/>
    <w:pPr>
      <w:ind w:left="840" w:hanging="420" w:firstLineChars="0"/>
    </w:pPr>
    <w:rPr>
      <w:sz w:val="18"/>
      <w:szCs w:val="18"/>
    </w:rPr>
  </w:style>
  <w:style w:type="paragraph" w:customStyle="1" w:styleId="126">
    <w:name w:val="图表脚注说明"/>
    <w:basedOn w:val="1"/>
    <w:qFormat/>
    <w:uiPriority w:val="0"/>
    <w:pPr>
      <w:numPr>
        <w:ilvl w:val="0"/>
        <w:numId w:val="14"/>
      </w:numPr>
    </w:pPr>
    <w:rPr>
      <w:rFonts w:ascii="宋体"/>
      <w:sz w:val="18"/>
      <w:szCs w:val="18"/>
    </w:rPr>
  </w:style>
  <w:style w:type="paragraph" w:customStyle="1" w:styleId="127">
    <w:name w:val="图的脚注"/>
    <w:next w:val="2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qFormat/>
    <w:uiPriority w:val="0"/>
    <w:pPr>
      <w:spacing w:before="0" w:beforeLines="0" w:after="0" w:afterLines="0"/>
    </w:pPr>
    <w:rPr>
      <w:rFonts w:ascii="宋体" w:eastAsia="宋体"/>
    </w:rPr>
  </w:style>
  <w:style w:type="paragraph" w:customStyle="1" w:styleId="130">
    <w:name w:val="一级无"/>
    <w:basedOn w:val="47"/>
    <w:qFormat/>
    <w:uiPriority w:val="0"/>
    <w:pPr>
      <w:spacing w:before="0" w:beforeLines="0" w:after="0" w:afterLines="0"/>
    </w:pPr>
    <w:rPr>
      <w:rFonts w:ascii="宋体" w:eastAsia="宋体"/>
    </w:rPr>
  </w:style>
  <w:style w:type="paragraph" w:customStyle="1" w:styleId="131">
    <w:name w:val="正文表标题"/>
    <w:next w:val="28"/>
    <w:qFormat/>
    <w:uiPriority w:val="0"/>
    <w:pPr>
      <w:numPr>
        <w:ilvl w:val="0"/>
        <w:numId w:val="1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8"/>
    <w:next w:val="28"/>
    <w:qFormat/>
    <w:uiPriority w:val="0"/>
    <w:pPr>
      <w:ind w:firstLine="0" w:firstLineChars="0"/>
    </w:pPr>
  </w:style>
  <w:style w:type="paragraph" w:customStyle="1" w:styleId="133">
    <w:name w:val="正文图标题"/>
    <w:next w:val="28"/>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qFormat/>
    <w:uiPriority w:val="0"/>
    <w:pPr>
      <w:framePr w:hSpace="181" w:vSpace="181" w:wrap="around" w:vAnchor="text" w:hAnchor="margin" w:xAlign="center" w:y="285"/>
    </w:pPr>
  </w:style>
  <w:style w:type="paragraph" w:customStyle="1" w:styleId="135">
    <w:name w:val="其他发布日期"/>
    <w:basedOn w:val="80"/>
    <w:qFormat/>
    <w:uiPriority w:val="0"/>
    <w:pPr>
      <w:framePr w:vAnchor="page" w:hAnchor="text" w:x="1419"/>
    </w:pPr>
  </w:style>
  <w:style w:type="paragraph" w:customStyle="1" w:styleId="136">
    <w:name w:val="其他实施日期"/>
    <w:basedOn w:val="119"/>
    <w:qFormat/>
    <w:uiPriority w:val="0"/>
  </w:style>
  <w:style w:type="paragraph" w:customStyle="1" w:styleId="137">
    <w:name w:val="封面标准名称2"/>
    <w:basedOn w:val="83"/>
    <w:qFormat/>
    <w:uiPriority w:val="0"/>
    <w:pPr>
      <w:framePr w:y="4469"/>
      <w:spacing w:before="630" w:beforeLines="630"/>
    </w:pPr>
  </w:style>
  <w:style w:type="paragraph" w:customStyle="1" w:styleId="138">
    <w:name w:val="封面标准英文名称2"/>
    <w:basedOn w:val="84"/>
    <w:qFormat/>
    <w:uiPriority w:val="0"/>
    <w:pPr>
      <w:framePr w:y="4469"/>
    </w:pPr>
  </w:style>
  <w:style w:type="paragraph" w:customStyle="1" w:styleId="139">
    <w:name w:val="封面一致性程度标识2"/>
    <w:basedOn w:val="85"/>
    <w:qFormat/>
    <w:uiPriority w:val="0"/>
    <w:pPr>
      <w:framePr w:y="4469"/>
    </w:pPr>
  </w:style>
  <w:style w:type="paragraph" w:customStyle="1" w:styleId="140">
    <w:name w:val="封面标准文稿类别2"/>
    <w:basedOn w:val="86"/>
    <w:qFormat/>
    <w:uiPriority w:val="0"/>
    <w:pPr>
      <w:framePr w:y="4469"/>
    </w:pPr>
  </w:style>
  <w:style w:type="paragraph" w:customStyle="1" w:styleId="141">
    <w:name w:val="封面标准文稿编辑信息2"/>
    <w:basedOn w:val="87"/>
    <w:qFormat/>
    <w:uiPriority w:val="0"/>
    <w:pPr>
      <w:framePr w:y="4469"/>
    </w:pPr>
  </w:style>
  <w:style w:type="character" w:customStyle="1" w:styleId="142">
    <w:name w:val="批注框文本 字符"/>
    <w:link w:val="21"/>
    <w:qFormat/>
    <w:uiPriority w:val="99"/>
    <w:rPr>
      <w:kern w:val="2"/>
      <w:sz w:val="18"/>
      <w:szCs w:val="18"/>
    </w:rPr>
  </w:style>
  <w:style w:type="paragraph" w:customStyle="1" w:styleId="143">
    <w:name w:val="彩色列表 - 强调文字颜色 11"/>
    <w:basedOn w:val="1"/>
    <w:qFormat/>
    <w:uiPriority w:val="34"/>
    <w:pPr>
      <w:ind w:firstLine="420" w:firstLineChars="200"/>
    </w:pPr>
  </w:style>
  <w:style w:type="character" w:customStyle="1" w:styleId="144">
    <w:name w:val="纯文本 字符"/>
    <w:link w:val="17"/>
    <w:qFormat/>
    <w:uiPriority w:val="0"/>
    <w:rPr>
      <w:rFonts w:ascii="宋体" w:hAnsi="Courier New"/>
      <w:kern w:val="2"/>
      <w:sz w:val="21"/>
    </w:rPr>
  </w:style>
  <w:style w:type="character" w:customStyle="1" w:styleId="145">
    <w:name w:val="一级条标题 Char"/>
    <w:link w:val="47"/>
    <w:qFormat/>
    <w:uiPriority w:val="0"/>
    <w:rPr>
      <w:rFonts w:ascii="黑体" w:eastAsia="黑体"/>
      <w:sz w:val="21"/>
      <w:szCs w:val="21"/>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7">
    <w:name w:val="正文文本 字符"/>
    <w:basedOn w:val="39"/>
    <w:link w:val="13"/>
    <w:qFormat/>
    <w:uiPriority w:val="99"/>
    <w:rPr>
      <w:rFonts w:ascii="Arial" w:hAnsi="Arial" w:cs="Arial"/>
    </w:rPr>
  </w:style>
  <w:style w:type="paragraph" w:customStyle="1" w:styleId="148">
    <w:name w:val="Table Paragraph"/>
    <w:basedOn w:val="1"/>
    <w:qFormat/>
    <w:uiPriority w:val="1"/>
    <w:pPr>
      <w:autoSpaceDE w:val="0"/>
      <w:autoSpaceDN w:val="0"/>
      <w:adjustRightInd w:val="0"/>
      <w:jc w:val="left"/>
    </w:pPr>
    <w:rPr>
      <w:kern w:val="0"/>
      <w:sz w:val="24"/>
    </w:rPr>
  </w:style>
  <w:style w:type="character" w:customStyle="1" w:styleId="149">
    <w:name w:val="标题 1 字符"/>
    <w:basedOn w:val="39"/>
    <w:link w:val="2"/>
    <w:qFormat/>
    <w:uiPriority w:val="9"/>
    <w:rPr>
      <w:b/>
      <w:bCs/>
      <w:kern w:val="44"/>
      <w:sz w:val="44"/>
      <w:szCs w:val="44"/>
    </w:rPr>
  </w:style>
  <w:style w:type="character" w:customStyle="1" w:styleId="150">
    <w:name w:val="标题 2 字符"/>
    <w:basedOn w:val="39"/>
    <w:link w:val="3"/>
    <w:qFormat/>
    <w:uiPriority w:val="9"/>
    <w:rPr>
      <w:rFonts w:ascii="Cambria" w:hAnsi="Cambria"/>
      <w:b/>
      <w:bCs/>
      <w:color w:val="000000"/>
      <w:sz w:val="32"/>
      <w:szCs w:val="32"/>
      <w:lang w:eastAsia="en-US"/>
    </w:rPr>
  </w:style>
  <w:style w:type="character" w:customStyle="1" w:styleId="151">
    <w:name w:val="标题 3 字符"/>
    <w:basedOn w:val="39"/>
    <w:link w:val="4"/>
    <w:qFormat/>
    <w:uiPriority w:val="9"/>
    <w:rPr>
      <w:rFonts w:ascii="MingLiU_HKSCS" w:hAnsi="MingLiU_HKSCS" w:eastAsia="MingLiU_HKSCS" w:cs="MingLiU_HKSCS"/>
      <w:b/>
      <w:bCs/>
      <w:color w:val="000000"/>
      <w:sz w:val="32"/>
      <w:szCs w:val="32"/>
      <w:lang w:eastAsia="en-US"/>
    </w:rPr>
  </w:style>
  <w:style w:type="character" w:customStyle="1" w:styleId="152">
    <w:name w:val="脚注_"/>
    <w:link w:val="153"/>
    <w:qFormat/>
    <w:uiPriority w:val="99"/>
    <w:rPr>
      <w:rFonts w:ascii="Arial" w:hAnsi="Arial" w:cs="Arial"/>
      <w:sz w:val="15"/>
      <w:szCs w:val="15"/>
      <w:shd w:val="clear" w:color="auto" w:fill="FFFFFF"/>
    </w:rPr>
  </w:style>
  <w:style w:type="paragraph" w:customStyle="1" w:styleId="153">
    <w:name w:val="脚注"/>
    <w:basedOn w:val="1"/>
    <w:link w:val="152"/>
    <w:qFormat/>
    <w:uiPriority w:val="99"/>
    <w:pPr>
      <w:shd w:val="clear" w:color="auto" w:fill="FFFFFF"/>
      <w:spacing w:line="240" w:lineRule="atLeast"/>
      <w:jc w:val="left"/>
    </w:pPr>
    <w:rPr>
      <w:rFonts w:ascii="Arial" w:hAnsi="Arial" w:cs="Arial"/>
      <w:kern w:val="0"/>
      <w:sz w:val="15"/>
      <w:szCs w:val="15"/>
    </w:rPr>
  </w:style>
  <w:style w:type="character" w:customStyle="1" w:styleId="154">
    <w:name w:val="正文文本 (6)_"/>
    <w:link w:val="155"/>
    <w:qFormat/>
    <w:uiPriority w:val="99"/>
    <w:rPr>
      <w:rFonts w:ascii="Arial" w:hAnsi="Arial" w:cs="Arial"/>
      <w:b/>
      <w:bCs/>
      <w:shd w:val="clear" w:color="auto" w:fill="FFFFFF"/>
    </w:rPr>
  </w:style>
  <w:style w:type="paragraph" w:customStyle="1" w:styleId="155">
    <w:name w:val="正文文本 (6)"/>
    <w:basedOn w:val="1"/>
    <w:link w:val="154"/>
    <w:qFormat/>
    <w:uiPriority w:val="99"/>
    <w:pPr>
      <w:shd w:val="clear" w:color="auto" w:fill="FFFFFF"/>
      <w:spacing w:line="274" w:lineRule="exact"/>
      <w:ind w:hanging="1100"/>
      <w:jc w:val="left"/>
    </w:pPr>
    <w:rPr>
      <w:rFonts w:ascii="Arial" w:hAnsi="Arial" w:cs="Arial"/>
      <w:b/>
      <w:bCs/>
      <w:kern w:val="0"/>
      <w:sz w:val="20"/>
      <w:szCs w:val="20"/>
    </w:rPr>
  </w:style>
  <w:style w:type="character" w:customStyle="1" w:styleId="156">
    <w:name w:val="正文文本 (4)"/>
    <w:qFormat/>
    <w:uiPriority w:val="99"/>
    <w:rPr>
      <w:rFonts w:ascii="Arial" w:hAnsi="Arial" w:cs="Arial"/>
      <w:sz w:val="15"/>
      <w:szCs w:val="15"/>
      <w:u w:val="none"/>
    </w:rPr>
  </w:style>
  <w:style w:type="character" w:customStyle="1" w:styleId="157">
    <w:name w:val="正文文本 (4)3"/>
    <w:qFormat/>
    <w:uiPriority w:val="99"/>
    <w:rPr>
      <w:rFonts w:ascii="Arial" w:hAnsi="Arial" w:cs="Arial"/>
      <w:color w:val="0000FD"/>
      <w:spacing w:val="0"/>
      <w:w w:val="100"/>
      <w:position w:val="0"/>
      <w:sz w:val="15"/>
      <w:szCs w:val="15"/>
      <w:u w:val="none"/>
    </w:rPr>
  </w:style>
  <w:style w:type="character" w:customStyle="1" w:styleId="158">
    <w:name w:val="正文文本 (7)"/>
    <w:qFormat/>
    <w:uiPriority w:val="99"/>
    <w:rPr>
      <w:rFonts w:ascii="Arial" w:hAnsi="Arial" w:cs="Arial"/>
      <w:b/>
      <w:bCs/>
      <w:sz w:val="15"/>
      <w:szCs w:val="15"/>
      <w:u w:val="none"/>
    </w:rPr>
  </w:style>
  <w:style w:type="character" w:customStyle="1" w:styleId="159">
    <w:name w:val="正文文本 (3)_"/>
    <w:link w:val="160"/>
    <w:qFormat/>
    <w:uiPriority w:val="99"/>
    <w:rPr>
      <w:rFonts w:ascii="Arial" w:hAnsi="Arial" w:cs="Arial"/>
      <w:b/>
      <w:bCs/>
      <w:sz w:val="22"/>
      <w:szCs w:val="22"/>
      <w:shd w:val="clear" w:color="auto" w:fill="FFFFFF"/>
    </w:rPr>
  </w:style>
  <w:style w:type="paragraph" w:customStyle="1" w:styleId="160">
    <w:name w:val="正文文本 (3)1"/>
    <w:basedOn w:val="1"/>
    <w:link w:val="159"/>
    <w:qFormat/>
    <w:uiPriority w:val="99"/>
    <w:pPr>
      <w:shd w:val="clear" w:color="auto" w:fill="FFFFFF"/>
      <w:spacing w:line="283" w:lineRule="exact"/>
      <w:jc w:val="left"/>
    </w:pPr>
    <w:rPr>
      <w:rFonts w:ascii="Arial" w:hAnsi="Arial" w:cs="Arial"/>
      <w:b/>
      <w:bCs/>
      <w:kern w:val="0"/>
      <w:sz w:val="22"/>
      <w:szCs w:val="22"/>
    </w:rPr>
  </w:style>
  <w:style w:type="character" w:customStyle="1" w:styleId="161">
    <w:name w:val="正文文本 (3)"/>
    <w:qFormat/>
    <w:uiPriority w:val="99"/>
    <w:rPr>
      <w:rFonts w:ascii="Arial" w:hAnsi="Arial" w:cs="Arial"/>
      <w:b/>
      <w:bCs/>
      <w:color w:val="0059A0"/>
      <w:sz w:val="22"/>
      <w:szCs w:val="22"/>
      <w:u w:val="none"/>
    </w:rPr>
  </w:style>
  <w:style w:type="character" w:customStyle="1" w:styleId="162">
    <w:name w:val="标题 #3_"/>
    <w:link w:val="163"/>
    <w:qFormat/>
    <w:uiPriority w:val="99"/>
    <w:rPr>
      <w:rFonts w:ascii="Arial" w:hAnsi="Arial" w:cs="Arial"/>
      <w:b/>
      <w:bCs/>
      <w:shd w:val="clear" w:color="auto" w:fill="FFFFFF"/>
    </w:rPr>
  </w:style>
  <w:style w:type="paragraph" w:customStyle="1" w:styleId="163">
    <w:name w:val="标题 #3"/>
    <w:basedOn w:val="1"/>
    <w:link w:val="162"/>
    <w:qFormat/>
    <w:uiPriority w:val="99"/>
    <w:pPr>
      <w:shd w:val="clear" w:color="auto" w:fill="FFFFFF"/>
      <w:spacing w:line="240" w:lineRule="atLeast"/>
      <w:ind w:hanging="600"/>
      <w:outlineLvl w:val="2"/>
    </w:pPr>
    <w:rPr>
      <w:rFonts w:ascii="Arial" w:hAnsi="Arial" w:cs="Arial"/>
      <w:b/>
      <w:bCs/>
      <w:kern w:val="0"/>
      <w:sz w:val="20"/>
      <w:szCs w:val="20"/>
    </w:rPr>
  </w:style>
  <w:style w:type="character" w:customStyle="1" w:styleId="164">
    <w:name w:val="正文文本 (4)_"/>
    <w:link w:val="165"/>
    <w:qFormat/>
    <w:uiPriority w:val="99"/>
    <w:rPr>
      <w:rFonts w:ascii="Arial" w:hAnsi="Arial" w:cs="Arial"/>
      <w:sz w:val="15"/>
      <w:szCs w:val="15"/>
      <w:shd w:val="clear" w:color="auto" w:fill="FFFFFF"/>
    </w:rPr>
  </w:style>
  <w:style w:type="paragraph" w:customStyle="1" w:styleId="165">
    <w:name w:val="正文文本 (4)1"/>
    <w:basedOn w:val="1"/>
    <w:link w:val="164"/>
    <w:qFormat/>
    <w:uiPriority w:val="99"/>
    <w:pPr>
      <w:shd w:val="clear" w:color="auto" w:fill="FFFFFF"/>
      <w:spacing w:line="173" w:lineRule="exact"/>
      <w:ind w:hanging="260"/>
    </w:pPr>
    <w:rPr>
      <w:rFonts w:ascii="Arial" w:hAnsi="Arial" w:cs="Arial"/>
      <w:kern w:val="0"/>
      <w:sz w:val="15"/>
      <w:szCs w:val="15"/>
    </w:rPr>
  </w:style>
  <w:style w:type="character" w:customStyle="1" w:styleId="166">
    <w:name w:val="正文文本 (5)_"/>
    <w:link w:val="167"/>
    <w:qFormat/>
    <w:uiPriority w:val="99"/>
    <w:rPr>
      <w:rFonts w:ascii="Arial" w:hAnsi="Arial" w:cs="Arial"/>
      <w:b/>
      <w:bCs/>
      <w:shd w:val="clear" w:color="auto" w:fill="FFFFFF"/>
    </w:rPr>
  </w:style>
  <w:style w:type="paragraph" w:customStyle="1" w:styleId="167">
    <w:name w:val="正文文本 (5)"/>
    <w:basedOn w:val="1"/>
    <w:link w:val="166"/>
    <w:qFormat/>
    <w:uiPriority w:val="99"/>
    <w:pPr>
      <w:shd w:val="clear" w:color="auto" w:fill="FFFFFF"/>
      <w:spacing w:line="240" w:lineRule="atLeast"/>
    </w:pPr>
    <w:rPr>
      <w:rFonts w:ascii="Arial" w:hAnsi="Arial" w:cs="Arial"/>
      <w:b/>
      <w:bCs/>
      <w:kern w:val="0"/>
      <w:sz w:val="20"/>
      <w:szCs w:val="20"/>
    </w:rPr>
  </w:style>
  <w:style w:type="character" w:customStyle="1" w:styleId="168">
    <w:name w:val="正文文本 (7)_"/>
    <w:link w:val="169"/>
    <w:qFormat/>
    <w:uiPriority w:val="99"/>
    <w:rPr>
      <w:rFonts w:ascii="Arial" w:hAnsi="Arial" w:cs="Arial"/>
      <w:b/>
      <w:bCs/>
      <w:sz w:val="15"/>
      <w:szCs w:val="15"/>
      <w:shd w:val="clear" w:color="auto" w:fill="FFFFFF"/>
      <w:lang w:val="fr-FR" w:eastAsia="fr-FR"/>
    </w:rPr>
  </w:style>
  <w:style w:type="paragraph" w:customStyle="1" w:styleId="169">
    <w:name w:val="正文文本 (7)1"/>
    <w:basedOn w:val="1"/>
    <w:link w:val="168"/>
    <w:qFormat/>
    <w:uiPriority w:val="99"/>
    <w:pPr>
      <w:shd w:val="clear" w:color="auto" w:fill="FFFFFF"/>
      <w:spacing w:line="240" w:lineRule="atLeast"/>
    </w:pPr>
    <w:rPr>
      <w:rFonts w:ascii="Arial" w:hAnsi="Arial" w:cs="Arial"/>
      <w:b/>
      <w:bCs/>
      <w:kern w:val="0"/>
      <w:sz w:val="15"/>
      <w:szCs w:val="15"/>
      <w:lang w:val="fr-FR" w:eastAsia="fr-FR"/>
    </w:rPr>
  </w:style>
  <w:style w:type="character" w:customStyle="1" w:styleId="170">
    <w:name w:val="正文文本 (4)2"/>
    <w:qFormat/>
    <w:uiPriority w:val="99"/>
    <w:rPr>
      <w:rFonts w:ascii="Arial" w:hAnsi="Arial" w:cs="Arial"/>
      <w:color w:val="0000FD"/>
      <w:sz w:val="15"/>
      <w:szCs w:val="15"/>
      <w:u w:val="none"/>
      <w:lang w:val="fr-FR" w:eastAsia="fr-FR"/>
    </w:rPr>
  </w:style>
  <w:style w:type="character" w:customStyle="1" w:styleId="171">
    <w:name w:val="标题 #1_"/>
    <w:link w:val="172"/>
    <w:qFormat/>
    <w:uiPriority w:val="99"/>
    <w:rPr>
      <w:rFonts w:ascii="Arial" w:hAnsi="Arial" w:cs="Arial"/>
      <w:b/>
      <w:bCs/>
      <w:sz w:val="22"/>
      <w:szCs w:val="22"/>
      <w:shd w:val="clear" w:color="auto" w:fill="FFFFFF"/>
    </w:rPr>
  </w:style>
  <w:style w:type="paragraph" w:customStyle="1" w:styleId="172">
    <w:name w:val="标题 #1"/>
    <w:basedOn w:val="1"/>
    <w:link w:val="171"/>
    <w:qFormat/>
    <w:uiPriority w:val="99"/>
    <w:pPr>
      <w:shd w:val="clear" w:color="auto" w:fill="FFFFFF"/>
      <w:spacing w:line="240" w:lineRule="atLeast"/>
      <w:jc w:val="left"/>
      <w:outlineLvl w:val="0"/>
    </w:pPr>
    <w:rPr>
      <w:rFonts w:ascii="Arial" w:hAnsi="Arial" w:cs="Arial"/>
      <w:b/>
      <w:bCs/>
      <w:kern w:val="0"/>
      <w:sz w:val="22"/>
      <w:szCs w:val="22"/>
    </w:rPr>
  </w:style>
  <w:style w:type="character" w:customStyle="1" w:styleId="173">
    <w:name w:val="页眉或页脚_"/>
    <w:link w:val="174"/>
    <w:qFormat/>
    <w:uiPriority w:val="99"/>
    <w:rPr>
      <w:rFonts w:ascii="Arial" w:hAnsi="Arial" w:cs="Arial"/>
      <w:b/>
      <w:bCs/>
      <w:shd w:val="clear" w:color="auto" w:fill="FFFFFF"/>
    </w:rPr>
  </w:style>
  <w:style w:type="paragraph" w:customStyle="1" w:styleId="174">
    <w:name w:val="页眉或页脚1"/>
    <w:basedOn w:val="1"/>
    <w:link w:val="173"/>
    <w:qFormat/>
    <w:uiPriority w:val="99"/>
    <w:pPr>
      <w:shd w:val="clear" w:color="auto" w:fill="FFFFFF"/>
      <w:spacing w:line="240" w:lineRule="atLeast"/>
      <w:jc w:val="left"/>
    </w:pPr>
    <w:rPr>
      <w:rFonts w:ascii="Arial" w:hAnsi="Arial" w:cs="Arial"/>
      <w:b/>
      <w:bCs/>
      <w:kern w:val="0"/>
      <w:sz w:val="20"/>
      <w:szCs w:val="20"/>
    </w:rPr>
  </w:style>
  <w:style w:type="character" w:customStyle="1" w:styleId="175">
    <w:name w:val="页眉或页脚 + 间距 2 pt"/>
    <w:qFormat/>
    <w:uiPriority w:val="99"/>
    <w:rPr>
      <w:rFonts w:ascii="Arial" w:hAnsi="Arial" w:cs="Arial"/>
      <w:b/>
      <w:bCs/>
      <w:spacing w:val="50"/>
      <w:sz w:val="20"/>
      <w:szCs w:val="20"/>
      <w:u w:val="none"/>
    </w:rPr>
  </w:style>
  <w:style w:type="character" w:customStyle="1" w:styleId="176">
    <w:name w:val="页眉或页脚"/>
    <w:qFormat/>
    <w:uiPriority w:val="99"/>
  </w:style>
  <w:style w:type="character" w:customStyle="1" w:styleId="177">
    <w:name w:val="TOC 1 字符"/>
    <w:link w:val="24"/>
    <w:qFormat/>
    <w:uiPriority w:val="39"/>
    <w:rPr>
      <w:rFonts w:ascii="宋体"/>
      <w:kern w:val="2"/>
      <w:sz w:val="21"/>
      <w:szCs w:val="21"/>
    </w:rPr>
  </w:style>
  <w:style w:type="character" w:customStyle="1" w:styleId="178">
    <w:name w:val="正文文本 (2)_"/>
    <w:link w:val="179"/>
    <w:qFormat/>
    <w:uiPriority w:val="99"/>
    <w:rPr>
      <w:rFonts w:ascii="Arial" w:hAnsi="Arial" w:eastAsia="MingLiU_HKSCS" w:cs="Arial"/>
      <w:kern w:val="0"/>
      <w:sz w:val="19"/>
      <w:szCs w:val="19"/>
    </w:rPr>
  </w:style>
  <w:style w:type="paragraph" w:customStyle="1" w:styleId="179">
    <w:name w:val="正文文本 (2)1"/>
    <w:basedOn w:val="1"/>
    <w:link w:val="178"/>
    <w:qFormat/>
    <w:uiPriority w:val="99"/>
    <w:pPr>
      <w:shd w:val="clear" w:color="auto" w:fill="FFFFFF"/>
      <w:spacing w:line="240" w:lineRule="atLeast"/>
      <w:ind w:hanging="320"/>
      <w:jc w:val="left"/>
    </w:pPr>
    <w:rPr>
      <w:rFonts w:ascii="Arial" w:hAnsi="Arial" w:eastAsia="MingLiU_HKSCS" w:cs="Arial"/>
      <w:kern w:val="0"/>
      <w:sz w:val="19"/>
      <w:szCs w:val="19"/>
    </w:rPr>
  </w:style>
  <w:style w:type="paragraph" w:customStyle="1" w:styleId="180">
    <w:name w:val="正文文本 (2)"/>
    <w:basedOn w:val="1"/>
    <w:qFormat/>
    <w:uiPriority w:val="99"/>
    <w:pPr>
      <w:shd w:val="clear" w:color="auto" w:fill="FFFFFF"/>
      <w:spacing w:line="216" w:lineRule="exact"/>
      <w:ind w:hanging="600"/>
    </w:pPr>
    <w:rPr>
      <w:rFonts w:ascii="Arial" w:hAnsi="Arial" w:cs="Arial"/>
      <w:kern w:val="0"/>
      <w:sz w:val="20"/>
      <w:szCs w:val="20"/>
    </w:rPr>
  </w:style>
  <w:style w:type="character" w:customStyle="1" w:styleId="181">
    <w:name w:val="正文文本 (2) + 7.5 pt"/>
    <w:qFormat/>
    <w:uiPriority w:val="99"/>
    <w:rPr>
      <w:rFonts w:ascii="Arial" w:hAnsi="Arial" w:cs="Arial"/>
      <w:sz w:val="15"/>
      <w:szCs w:val="15"/>
      <w:u w:val="none"/>
    </w:rPr>
  </w:style>
  <w:style w:type="character" w:customStyle="1" w:styleId="182">
    <w:name w:val="正文文本 (2) + 斜体"/>
    <w:qFormat/>
    <w:uiPriority w:val="99"/>
    <w:rPr>
      <w:rFonts w:ascii="Arial" w:hAnsi="Arial" w:cs="Arial"/>
      <w:i/>
      <w:iCs/>
      <w:sz w:val="20"/>
      <w:szCs w:val="20"/>
      <w:u w:val="none"/>
    </w:rPr>
  </w:style>
  <w:style w:type="character" w:customStyle="1" w:styleId="183">
    <w:name w:val="正文文本 (2) + 粗体"/>
    <w:qFormat/>
    <w:uiPriority w:val="99"/>
    <w:rPr>
      <w:rFonts w:ascii="Arial" w:hAnsi="Arial" w:cs="Arial"/>
      <w:b/>
      <w:bCs/>
      <w:sz w:val="20"/>
      <w:szCs w:val="20"/>
      <w:u w:val="none"/>
    </w:rPr>
  </w:style>
  <w:style w:type="character" w:customStyle="1" w:styleId="184">
    <w:name w:val="正文文本 (2) + 7.5 pt6"/>
    <w:qFormat/>
    <w:uiPriority w:val="99"/>
    <w:rPr>
      <w:rFonts w:ascii="Arial" w:hAnsi="Arial" w:cs="Arial"/>
      <w:i/>
      <w:iCs/>
      <w:sz w:val="15"/>
      <w:szCs w:val="15"/>
      <w:u w:val="none"/>
    </w:rPr>
  </w:style>
  <w:style w:type="character" w:customStyle="1" w:styleId="185">
    <w:name w:val="表格标题_"/>
    <w:link w:val="186"/>
    <w:qFormat/>
    <w:uiPriority w:val="99"/>
    <w:rPr>
      <w:rFonts w:ascii="Arial" w:hAnsi="Arial" w:cs="Arial"/>
      <w:b/>
      <w:bCs/>
      <w:shd w:val="clear" w:color="auto" w:fill="FFFFFF"/>
    </w:rPr>
  </w:style>
  <w:style w:type="paragraph" w:customStyle="1" w:styleId="186">
    <w:name w:val="表格标题"/>
    <w:basedOn w:val="1"/>
    <w:link w:val="185"/>
    <w:qFormat/>
    <w:uiPriority w:val="99"/>
    <w:pPr>
      <w:shd w:val="clear" w:color="auto" w:fill="FFFFFF"/>
      <w:spacing w:line="240" w:lineRule="atLeast"/>
      <w:jc w:val="center"/>
    </w:pPr>
    <w:rPr>
      <w:rFonts w:ascii="Arial" w:hAnsi="Arial" w:cs="Arial"/>
      <w:b/>
      <w:bCs/>
      <w:kern w:val="0"/>
      <w:sz w:val="20"/>
      <w:szCs w:val="20"/>
    </w:rPr>
  </w:style>
  <w:style w:type="character" w:customStyle="1" w:styleId="187">
    <w:name w:val="正文文本 (2) + 7.5 pt5"/>
    <w:qFormat/>
    <w:uiPriority w:val="99"/>
    <w:rPr>
      <w:rFonts w:ascii="Arial" w:hAnsi="Arial" w:cs="Arial"/>
      <w:b/>
      <w:bCs/>
      <w:sz w:val="15"/>
      <w:szCs w:val="15"/>
      <w:u w:val="none"/>
    </w:rPr>
  </w:style>
  <w:style w:type="character" w:customStyle="1" w:styleId="188">
    <w:name w:val="标题 #2_"/>
    <w:link w:val="189"/>
    <w:qFormat/>
    <w:uiPriority w:val="99"/>
    <w:rPr>
      <w:rFonts w:ascii="Arial" w:hAnsi="Arial" w:cs="Arial"/>
      <w:b/>
      <w:bCs/>
      <w:sz w:val="22"/>
      <w:szCs w:val="22"/>
      <w:shd w:val="clear" w:color="auto" w:fill="FFFFFF"/>
    </w:rPr>
  </w:style>
  <w:style w:type="paragraph" w:customStyle="1" w:styleId="189">
    <w:name w:val="标题 #2"/>
    <w:basedOn w:val="1"/>
    <w:link w:val="188"/>
    <w:qFormat/>
    <w:uiPriority w:val="99"/>
    <w:pPr>
      <w:shd w:val="clear" w:color="auto" w:fill="FFFFFF"/>
      <w:spacing w:line="240" w:lineRule="atLeast"/>
      <w:ind w:hanging="320"/>
      <w:outlineLvl w:val="1"/>
    </w:pPr>
    <w:rPr>
      <w:rFonts w:ascii="Arial" w:hAnsi="Arial" w:cs="Arial"/>
      <w:b/>
      <w:bCs/>
      <w:kern w:val="0"/>
      <w:sz w:val="22"/>
      <w:szCs w:val="22"/>
    </w:rPr>
  </w:style>
  <w:style w:type="character" w:customStyle="1" w:styleId="190">
    <w:name w:val="正文文本 (8)_"/>
    <w:link w:val="191"/>
    <w:qFormat/>
    <w:uiPriority w:val="99"/>
    <w:rPr>
      <w:rFonts w:ascii="Arial" w:hAnsi="Arial" w:cs="Arial"/>
      <w:i/>
      <w:iCs/>
      <w:shd w:val="clear" w:color="auto" w:fill="FFFFFF"/>
    </w:rPr>
  </w:style>
  <w:style w:type="paragraph" w:customStyle="1" w:styleId="191">
    <w:name w:val="正文文本 (8)"/>
    <w:basedOn w:val="1"/>
    <w:link w:val="190"/>
    <w:qFormat/>
    <w:uiPriority w:val="99"/>
    <w:pPr>
      <w:shd w:val="clear" w:color="auto" w:fill="FFFFFF"/>
      <w:spacing w:line="240" w:lineRule="exact"/>
    </w:pPr>
    <w:rPr>
      <w:rFonts w:ascii="Arial" w:hAnsi="Arial" w:cs="Arial"/>
      <w:i/>
      <w:iCs/>
      <w:kern w:val="0"/>
      <w:sz w:val="20"/>
      <w:szCs w:val="20"/>
    </w:rPr>
  </w:style>
  <w:style w:type="character" w:customStyle="1" w:styleId="192">
    <w:name w:val="正文文本 (8) + 非斜体"/>
    <w:qFormat/>
    <w:uiPriority w:val="99"/>
    <w:rPr>
      <w:rFonts w:ascii="Arial" w:hAnsi="Arial" w:cs="Arial"/>
      <w:sz w:val="20"/>
      <w:szCs w:val="20"/>
      <w:u w:val="none"/>
    </w:rPr>
  </w:style>
  <w:style w:type="character" w:customStyle="1" w:styleId="193">
    <w:name w:val="标题 #2 (2)_"/>
    <w:link w:val="194"/>
    <w:qFormat/>
    <w:uiPriority w:val="99"/>
    <w:rPr>
      <w:rFonts w:ascii="Arial" w:hAnsi="Arial" w:cs="Arial"/>
      <w:b/>
      <w:bCs/>
      <w:shd w:val="clear" w:color="auto" w:fill="FFFFFF"/>
    </w:rPr>
  </w:style>
  <w:style w:type="paragraph" w:customStyle="1" w:styleId="194">
    <w:name w:val="标题 #2 (2)"/>
    <w:basedOn w:val="1"/>
    <w:link w:val="193"/>
    <w:qFormat/>
    <w:uiPriority w:val="99"/>
    <w:pPr>
      <w:shd w:val="clear" w:color="auto" w:fill="FFFFFF"/>
      <w:spacing w:line="499" w:lineRule="exact"/>
      <w:ind w:hanging="340"/>
      <w:outlineLvl w:val="1"/>
    </w:pPr>
    <w:rPr>
      <w:rFonts w:ascii="Arial" w:hAnsi="Arial" w:cs="Arial"/>
      <w:b/>
      <w:bCs/>
      <w:kern w:val="0"/>
      <w:sz w:val="20"/>
      <w:szCs w:val="20"/>
    </w:rPr>
  </w:style>
  <w:style w:type="character" w:customStyle="1" w:styleId="195">
    <w:name w:val="正文文本 (2) + 粗体1"/>
    <w:qFormat/>
    <w:uiPriority w:val="99"/>
    <w:rPr>
      <w:rFonts w:ascii="Arial" w:hAnsi="Arial" w:cs="Arial"/>
      <w:b/>
      <w:bCs/>
      <w:sz w:val="20"/>
      <w:szCs w:val="20"/>
      <w:u w:val="none"/>
    </w:rPr>
  </w:style>
  <w:style w:type="character" w:customStyle="1" w:styleId="196">
    <w:name w:val="正文文本 (2) + 间距 2 pt"/>
    <w:qFormat/>
    <w:uiPriority w:val="99"/>
    <w:rPr>
      <w:rFonts w:ascii="Arial" w:hAnsi="Arial" w:cs="Arial"/>
      <w:spacing w:val="40"/>
      <w:sz w:val="20"/>
      <w:szCs w:val="20"/>
      <w:u w:val="none"/>
    </w:rPr>
  </w:style>
  <w:style w:type="character" w:customStyle="1" w:styleId="197">
    <w:name w:val="表格标题 (2)_"/>
    <w:link w:val="198"/>
    <w:qFormat/>
    <w:uiPriority w:val="99"/>
    <w:rPr>
      <w:rFonts w:ascii="Arial" w:hAnsi="Arial" w:cs="Arial"/>
      <w:sz w:val="15"/>
      <w:szCs w:val="15"/>
      <w:shd w:val="clear" w:color="auto" w:fill="FFFFFF"/>
    </w:rPr>
  </w:style>
  <w:style w:type="paragraph" w:customStyle="1" w:styleId="198">
    <w:name w:val="表格标题 (2)"/>
    <w:basedOn w:val="1"/>
    <w:link w:val="197"/>
    <w:qFormat/>
    <w:uiPriority w:val="99"/>
    <w:pPr>
      <w:shd w:val="clear" w:color="auto" w:fill="FFFFFF"/>
      <w:spacing w:line="173" w:lineRule="exact"/>
      <w:jc w:val="left"/>
    </w:pPr>
    <w:rPr>
      <w:rFonts w:ascii="Arial" w:hAnsi="Arial" w:cs="Arial"/>
      <w:kern w:val="0"/>
      <w:sz w:val="15"/>
      <w:szCs w:val="15"/>
    </w:rPr>
  </w:style>
  <w:style w:type="character" w:customStyle="1" w:styleId="199">
    <w:name w:val="正文文本 (2) + Trebuchet MS"/>
    <w:qFormat/>
    <w:uiPriority w:val="99"/>
    <w:rPr>
      <w:rFonts w:ascii="Trebuchet MS" w:hAnsi="Trebuchet MS" w:cs="Trebuchet MS"/>
      <w:w w:val="100"/>
      <w:sz w:val="8"/>
      <w:szCs w:val="8"/>
      <w:u w:val="none"/>
    </w:rPr>
  </w:style>
  <w:style w:type="character" w:customStyle="1" w:styleId="200">
    <w:name w:val="正文文本 (2) + 7.5 pt4"/>
    <w:qFormat/>
    <w:uiPriority w:val="99"/>
    <w:rPr>
      <w:rFonts w:ascii="Arial" w:hAnsi="Arial" w:cs="Arial"/>
      <w:smallCaps/>
      <w:sz w:val="15"/>
      <w:szCs w:val="15"/>
      <w:u w:val="none"/>
    </w:rPr>
  </w:style>
  <w:style w:type="character" w:customStyle="1" w:styleId="201">
    <w:name w:val="正文文本 (2) + 7.5 pt3"/>
    <w:qFormat/>
    <w:uiPriority w:val="99"/>
    <w:rPr>
      <w:rFonts w:ascii="Arial" w:hAnsi="Arial" w:cs="Arial"/>
      <w:sz w:val="15"/>
      <w:szCs w:val="15"/>
      <w:u w:val="none"/>
    </w:rPr>
  </w:style>
  <w:style w:type="character" w:customStyle="1" w:styleId="202">
    <w:name w:val="图片标题_"/>
    <w:link w:val="203"/>
    <w:qFormat/>
    <w:uiPriority w:val="99"/>
    <w:rPr>
      <w:rFonts w:ascii="Arial" w:hAnsi="Arial" w:cs="Arial"/>
      <w:b/>
      <w:bCs/>
      <w:shd w:val="clear" w:color="auto" w:fill="FFFFFF"/>
    </w:rPr>
  </w:style>
  <w:style w:type="paragraph" w:customStyle="1" w:styleId="203">
    <w:name w:val="图片标题1"/>
    <w:basedOn w:val="1"/>
    <w:link w:val="202"/>
    <w:qFormat/>
    <w:uiPriority w:val="99"/>
    <w:pPr>
      <w:shd w:val="clear" w:color="auto" w:fill="FFFFFF"/>
      <w:spacing w:line="240" w:lineRule="atLeast"/>
      <w:jc w:val="left"/>
    </w:pPr>
    <w:rPr>
      <w:rFonts w:ascii="Arial" w:hAnsi="Arial" w:cs="Arial"/>
      <w:b/>
      <w:bCs/>
      <w:kern w:val="0"/>
      <w:sz w:val="20"/>
      <w:szCs w:val="20"/>
    </w:rPr>
  </w:style>
  <w:style w:type="character" w:customStyle="1" w:styleId="204">
    <w:name w:val="正文文本 (2) + 7.5 pt2"/>
    <w:qFormat/>
    <w:uiPriority w:val="99"/>
    <w:rPr>
      <w:rFonts w:ascii="Arial" w:hAnsi="Arial" w:cs="Arial"/>
      <w:b/>
      <w:bCs/>
      <w:sz w:val="15"/>
      <w:szCs w:val="15"/>
      <w:u w:val="none"/>
    </w:rPr>
  </w:style>
  <w:style w:type="character" w:customStyle="1" w:styleId="205">
    <w:name w:val="表格标题 (3)_"/>
    <w:link w:val="206"/>
    <w:qFormat/>
    <w:uiPriority w:val="99"/>
    <w:rPr>
      <w:rFonts w:ascii="Arial" w:hAnsi="Arial" w:cs="Arial"/>
      <w:b/>
      <w:bCs/>
      <w:i/>
      <w:iCs/>
      <w:sz w:val="11"/>
      <w:szCs w:val="11"/>
      <w:shd w:val="clear" w:color="auto" w:fill="FFFFFF"/>
      <w:lang w:val="fr-FR" w:eastAsia="fr-FR"/>
    </w:rPr>
  </w:style>
  <w:style w:type="paragraph" w:customStyle="1" w:styleId="206">
    <w:name w:val="表格标题 (3)"/>
    <w:basedOn w:val="1"/>
    <w:link w:val="205"/>
    <w:qFormat/>
    <w:uiPriority w:val="99"/>
    <w:pPr>
      <w:shd w:val="clear" w:color="auto" w:fill="FFFFFF"/>
      <w:spacing w:line="240" w:lineRule="atLeast"/>
      <w:jc w:val="left"/>
    </w:pPr>
    <w:rPr>
      <w:rFonts w:ascii="Arial" w:hAnsi="Arial" w:cs="Arial"/>
      <w:b/>
      <w:bCs/>
      <w:i/>
      <w:iCs/>
      <w:kern w:val="0"/>
      <w:sz w:val="11"/>
      <w:szCs w:val="11"/>
      <w:lang w:val="fr-FR" w:eastAsia="fr-FR"/>
    </w:rPr>
  </w:style>
  <w:style w:type="character" w:customStyle="1" w:styleId="207">
    <w:name w:val="正文文本 (2) + 7.5 pt1"/>
    <w:qFormat/>
    <w:uiPriority w:val="99"/>
    <w:rPr>
      <w:rFonts w:ascii="Arial" w:hAnsi="Arial" w:cs="Arial"/>
      <w:b/>
      <w:bCs/>
      <w:sz w:val="15"/>
      <w:szCs w:val="15"/>
      <w:u w:val="none"/>
    </w:rPr>
  </w:style>
  <w:style w:type="character" w:customStyle="1" w:styleId="208">
    <w:name w:val="正文文本 (2) + 5.5 pt"/>
    <w:qFormat/>
    <w:uiPriority w:val="99"/>
    <w:rPr>
      <w:rFonts w:ascii="Arial" w:hAnsi="Arial" w:cs="Arial"/>
      <w:b/>
      <w:bCs/>
      <w:i/>
      <w:iCs/>
      <w:sz w:val="11"/>
      <w:szCs w:val="11"/>
      <w:u w:val="none"/>
    </w:rPr>
  </w:style>
  <w:style w:type="character" w:customStyle="1" w:styleId="209">
    <w:name w:val="图片标题"/>
    <w:qFormat/>
    <w:uiPriority w:val="99"/>
    <w:rPr>
      <w:rFonts w:ascii="Arial" w:hAnsi="Arial" w:cs="Arial"/>
      <w:b/>
      <w:bCs/>
      <w:sz w:val="20"/>
      <w:szCs w:val="20"/>
      <w:u w:val="none"/>
    </w:rPr>
  </w:style>
  <w:style w:type="character" w:customStyle="1" w:styleId="210">
    <w:name w:val="图片标题 (2)_"/>
    <w:link w:val="211"/>
    <w:qFormat/>
    <w:uiPriority w:val="99"/>
    <w:rPr>
      <w:rFonts w:ascii="Arial" w:hAnsi="Arial" w:cs="Arial"/>
      <w:b/>
      <w:bCs/>
      <w:sz w:val="15"/>
      <w:szCs w:val="15"/>
      <w:shd w:val="clear" w:color="auto" w:fill="FFFFFF"/>
    </w:rPr>
  </w:style>
  <w:style w:type="paragraph" w:customStyle="1" w:styleId="211">
    <w:name w:val="图片标题 (2)"/>
    <w:basedOn w:val="1"/>
    <w:link w:val="210"/>
    <w:qFormat/>
    <w:uiPriority w:val="99"/>
    <w:pPr>
      <w:shd w:val="clear" w:color="auto" w:fill="FFFFFF"/>
      <w:spacing w:line="240" w:lineRule="atLeast"/>
      <w:jc w:val="left"/>
    </w:pPr>
    <w:rPr>
      <w:rFonts w:ascii="Arial" w:hAnsi="Arial" w:cs="Arial"/>
      <w:b/>
      <w:bCs/>
      <w:kern w:val="0"/>
      <w:sz w:val="15"/>
      <w:szCs w:val="15"/>
    </w:rPr>
  </w:style>
  <w:style w:type="character" w:customStyle="1" w:styleId="212">
    <w:name w:val="页眉 字符"/>
    <w:link w:val="23"/>
    <w:qFormat/>
    <w:uiPriority w:val="99"/>
    <w:rPr>
      <w:kern w:val="2"/>
      <w:sz w:val="18"/>
      <w:szCs w:val="18"/>
    </w:rPr>
  </w:style>
  <w:style w:type="character" w:customStyle="1" w:styleId="213">
    <w:name w:val="页脚 字符"/>
    <w:link w:val="22"/>
    <w:qFormat/>
    <w:uiPriority w:val="99"/>
    <w:rPr>
      <w:kern w:val="2"/>
      <w:sz w:val="18"/>
      <w:szCs w:val="18"/>
    </w:rPr>
  </w:style>
  <w:style w:type="paragraph" w:customStyle="1" w:styleId="214">
    <w:name w:val="正文文本 (6)1"/>
    <w:basedOn w:val="1"/>
    <w:qFormat/>
    <w:uiPriority w:val="99"/>
    <w:pPr>
      <w:shd w:val="clear" w:color="auto" w:fill="FFFFFF"/>
      <w:spacing w:line="101" w:lineRule="exact"/>
    </w:pPr>
    <w:rPr>
      <w:rFonts w:ascii="Arial" w:hAnsi="Arial" w:eastAsia="MingLiU_HKSCS" w:cs="Arial"/>
      <w:kern w:val="0"/>
      <w:sz w:val="8"/>
      <w:szCs w:val="8"/>
      <w:lang w:val="fr-FR" w:eastAsia="fr-FR"/>
    </w:rPr>
  </w:style>
  <w:style w:type="paragraph" w:customStyle="1" w:styleId="215">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16">
    <w:name w:val="批注文字 字符"/>
    <w:basedOn w:val="39"/>
    <w:link w:val="11"/>
    <w:qFormat/>
    <w:uiPriority w:val="99"/>
    <w:rPr>
      <w:rFonts w:ascii="MingLiU_HKSCS" w:hAnsi="MingLiU_HKSCS" w:eastAsia="MingLiU_HKSCS" w:cs="MingLiU_HKSCS"/>
      <w:color w:val="000000"/>
      <w:sz w:val="24"/>
      <w:szCs w:val="24"/>
      <w:lang w:eastAsia="en-US"/>
    </w:rPr>
  </w:style>
  <w:style w:type="character" w:customStyle="1" w:styleId="217">
    <w:name w:val="批注主题 字符"/>
    <w:basedOn w:val="216"/>
    <w:link w:val="36"/>
    <w:qFormat/>
    <w:uiPriority w:val="99"/>
    <w:rPr>
      <w:rFonts w:ascii="MingLiU_HKSCS" w:hAnsi="MingLiU_HKSCS" w:eastAsia="MingLiU_HKSCS" w:cs="MingLiU_HKSCS"/>
      <w:b/>
      <w:bCs/>
      <w:color w:val="000000"/>
      <w:sz w:val="24"/>
      <w:szCs w:val="24"/>
      <w:lang w:eastAsia="en-US"/>
    </w:rPr>
  </w:style>
  <w:style w:type="paragraph" w:customStyle="1" w:styleId="218">
    <w:name w:val="修订1"/>
    <w:hidden/>
    <w:semiHidden/>
    <w:qFormat/>
    <w:uiPriority w:val="99"/>
    <w:rPr>
      <w:rFonts w:ascii="MingLiU_HKSCS" w:hAnsi="MingLiU_HKSCS" w:eastAsia="MingLiU_HKSCS" w:cs="MingLiU_HKSCS"/>
      <w:color w:val="000000"/>
      <w:sz w:val="24"/>
      <w:szCs w:val="24"/>
      <w:lang w:val="en-US" w:eastAsia="en-US" w:bidi="ar-SA"/>
    </w:rPr>
  </w:style>
  <w:style w:type="character" w:customStyle="1" w:styleId="219">
    <w:name w:val="正文文本 (9) + 非斜体"/>
    <w:qFormat/>
    <w:uiPriority w:val="99"/>
    <w:rPr>
      <w:rFonts w:ascii="Arial" w:hAnsi="Arial" w:cs="Arial"/>
      <w:sz w:val="20"/>
      <w:szCs w:val="20"/>
      <w:u w:val="none"/>
    </w:rPr>
  </w:style>
  <w:style w:type="paragraph" w:customStyle="1" w:styleId="220">
    <w:name w:val="List Paragraph"/>
    <w:basedOn w:val="1"/>
    <w:qFormat/>
    <w:uiPriority w:val="34"/>
    <w:pPr>
      <w:ind w:firstLine="420" w:firstLineChars="200"/>
      <w:jc w:val="left"/>
    </w:pPr>
    <w:rPr>
      <w:rFonts w:ascii="Microsoft JhengHei Light" w:hAnsi="Microsoft JhengHei Light" w:eastAsia="Microsoft JhengHei Light" w:cs="Microsoft JhengHei Light"/>
      <w:color w:val="000000"/>
      <w:kern w:val="0"/>
      <w:sz w:val="24"/>
      <w:lang w:bidi="en-US"/>
    </w:rPr>
  </w:style>
  <w:style w:type="table" w:customStyle="1" w:styleId="221">
    <w:name w:val="网格型1"/>
    <w:basedOn w:val="37"/>
    <w:qFormat/>
    <w:uiPriority w:val="59"/>
    <w:pPr>
      <w:widowControl w:val="0"/>
    </w:pPr>
    <w:rPr>
      <w:rFonts w:ascii="Microsoft JhengHei Light" w:hAnsi="Microsoft JhengHei Light" w:cs="Microsoft JhengHei Light"/>
      <w:sz w:val="24"/>
      <w:szCs w:val="24"/>
      <w:lang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numbering" Target="numbering.xml"/><Relationship Id="rId4" Type="http://schemas.openxmlformats.org/officeDocument/2006/relationships/header" Target="header1.xml"/><Relationship Id="rId39" Type="http://schemas.openxmlformats.org/officeDocument/2006/relationships/customXml" Target="../customXml/item1.xml"/><Relationship Id="rId38" Type="http://schemas.openxmlformats.org/officeDocument/2006/relationships/image" Target="media/image13.jpeg"/><Relationship Id="rId37" Type="http://schemas.openxmlformats.org/officeDocument/2006/relationships/image" Target="media/image12.jpeg"/><Relationship Id="rId36" Type="http://schemas.openxmlformats.org/officeDocument/2006/relationships/image" Target="media/image11.jpeg"/><Relationship Id="rId35" Type="http://schemas.openxmlformats.org/officeDocument/2006/relationships/image" Target="media/image10.wmf"/><Relationship Id="rId34" Type="http://schemas.openxmlformats.org/officeDocument/2006/relationships/oleObject" Target="embeddings/oleObject12.bin"/><Relationship Id="rId33" Type="http://schemas.openxmlformats.org/officeDocument/2006/relationships/oleObject" Target="embeddings/oleObject11.bin"/><Relationship Id="rId32" Type="http://schemas.openxmlformats.org/officeDocument/2006/relationships/oleObject" Target="embeddings/oleObject10.bin"/><Relationship Id="rId31" Type="http://schemas.openxmlformats.org/officeDocument/2006/relationships/oleObject" Target="embeddings/oleObject9.bin"/><Relationship Id="rId30" Type="http://schemas.openxmlformats.org/officeDocument/2006/relationships/image" Target="media/image9.wmf"/><Relationship Id="rId3" Type="http://schemas.openxmlformats.org/officeDocument/2006/relationships/footer" Target="footer1.xml"/><Relationship Id="rId29" Type="http://schemas.openxmlformats.org/officeDocument/2006/relationships/oleObject" Target="embeddings/oleObject8.bin"/><Relationship Id="rId28" Type="http://schemas.openxmlformats.org/officeDocument/2006/relationships/image" Target="media/image8.wmf"/><Relationship Id="rId27" Type="http://schemas.openxmlformats.org/officeDocument/2006/relationships/oleObject" Target="embeddings/oleObject7.bin"/><Relationship Id="rId26" Type="http://schemas.openxmlformats.org/officeDocument/2006/relationships/image" Target="media/image7.wmf"/><Relationship Id="rId25" Type="http://schemas.openxmlformats.org/officeDocument/2006/relationships/oleObject" Target="embeddings/oleObject6.bin"/><Relationship Id="rId24" Type="http://schemas.openxmlformats.org/officeDocument/2006/relationships/image" Target="media/image6.wmf"/><Relationship Id="rId23" Type="http://schemas.openxmlformats.org/officeDocument/2006/relationships/oleObject" Target="embeddings/oleObject5.bin"/><Relationship Id="rId22" Type="http://schemas.openxmlformats.org/officeDocument/2006/relationships/image" Target="media/image5.wmf"/><Relationship Id="rId21" Type="http://schemas.openxmlformats.org/officeDocument/2006/relationships/oleObject" Target="embeddings/oleObject4.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3.wmf"/><Relationship Id="rId17" Type="http://schemas.openxmlformats.org/officeDocument/2006/relationships/oleObject" Target="embeddings/oleObject2.bin"/><Relationship Id="rId16" Type="http://schemas.openxmlformats.org/officeDocument/2006/relationships/image" Target="media/image2.wmf"/><Relationship Id="rId15" Type="http://schemas.openxmlformats.org/officeDocument/2006/relationships/oleObject" Target="embeddings/oleObject1.bin"/><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AA0B3-DC53-4953-867F-AD7D09ECC6A3}">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26</Pages>
  <Words>13794</Words>
  <Characters>19255</Characters>
  <Lines>136</Lines>
  <Paragraphs>38</Paragraphs>
  <TotalTime>3</TotalTime>
  <ScaleCrop>false</ScaleCrop>
  <LinksUpToDate>false</LinksUpToDate>
  <CharactersWithSpaces>20613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2017-11-03T00:54:00Z</dcterms:created>
  <dc:creator>幸苑娜</dc:creator>
  <cp:lastModifiedBy>Administrator</cp:lastModifiedBy>
  <cp:lastPrinted>2023-08-03T06:56:00Z</cp:lastPrinted>
  <dcterms:modified xsi:type="dcterms:W3CDTF">2023-08-12T07:38:35Z</dcterms:modified>
  <dc:title>标准名称</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0E84A4B45835460F8A950941C69F13BB_12</vt:lpwstr>
  </property>
</Properties>
</file>