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numPr>
          <w:ilvl w:val="0"/>
          <w:numId w:val="0"/>
        </w:numPr>
        <w:adjustRightInd w:val="0"/>
        <w:snapToGrid w:val="0"/>
        <w:jc w:val="center"/>
        <w:rPr>
          <w:rFonts w:hint="eastAsia"/>
          <w:sz w:val="32"/>
        </w:rPr>
      </w:pPr>
      <w:r>
        <w:rPr>
          <w:rFonts w:hint="eastAsia"/>
          <w:sz w:val="32"/>
        </w:rPr>
        <w:t>《绿色设计产品评价规范</w:t>
      </w:r>
      <w:r>
        <w:rPr>
          <w:rFonts w:hint="eastAsia"/>
          <w:sz w:val="32"/>
          <w:lang w:val="en-US" w:eastAsia="zh-CN"/>
        </w:rPr>
        <w:t xml:space="preserve"> </w:t>
      </w:r>
      <w:r>
        <w:rPr>
          <w:rFonts w:hint="eastAsia"/>
          <w:sz w:val="32"/>
        </w:rPr>
        <w:t>信息设备用不间断电源》中国电子</w:t>
      </w:r>
      <w:r>
        <w:rPr>
          <w:rFonts w:hint="eastAsia"/>
          <w:sz w:val="32"/>
          <w:lang w:eastAsia="zh-CN"/>
        </w:rPr>
        <w:t>工业</w:t>
      </w:r>
      <w:r>
        <w:rPr>
          <w:rFonts w:hint="eastAsia"/>
          <w:sz w:val="32"/>
        </w:rPr>
        <w:t>标准化</w:t>
      </w:r>
      <w:r>
        <w:rPr>
          <w:rFonts w:hint="eastAsia"/>
          <w:sz w:val="32"/>
          <w:lang w:eastAsia="zh-CN"/>
        </w:rPr>
        <w:t>技术协会</w:t>
      </w:r>
      <w:r>
        <w:rPr>
          <w:rFonts w:hint="eastAsia"/>
          <w:sz w:val="32"/>
        </w:rPr>
        <w:t>团体标准的编制说明</w:t>
      </w:r>
    </w:p>
    <w:p>
      <w:pPr>
        <w:numPr>
          <w:ilvl w:val="0"/>
          <w:numId w:val="2"/>
        </w:numPr>
        <w:snapToGrid w:val="0"/>
        <w:spacing w:before="312" w:beforeLines="100" w:after="312" w:afterLines="100"/>
        <w:rPr>
          <w:rFonts w:hint="eastAsia" w:ascii="黑体" w:eastAsia="黑体"/>
          <w:kern w:val="0"/>
          <w:sz w:val="28"/>
          <w:szCs w:val="28"/>
        </w:rPr>
      </w:pPr>
      <w:r>
        <w:rPr>
          <w:rFonts w:hint="eastAsia" w:ascii="黑体" w:eastAsia="黑体" w:cs="黑体"/>
          <w:b/>
          <w:bCs/>
          <w:kern w:val="0"/>
          <w:sz w:val="28"/>
          <w:szCs w:val="28"/>
        </w:rPr>
        <w:t>工作简况</w:t>
      </w:r>
    </w:p>
    <w:p>
      <w:pPr>
        <w:snapToGrid w:val="0"/>
        <w:spacing w:before="156" w:beforeLines="50" w:after="156" w:afterLines="50"/>
        <w:ind w:firstLine="472" w:firstLineChars="196"/>
        <w:rPr>
          <w:rFonts w:hint="eastAsia" w:ascii="黑体" w:eastAsia="黑体"/>
          <w:kern w:val="0"/>
          <w:sz w:val="28"/>
          <w:szCs w:val="28"/>
        </w:rPr>
      </w:pPr>
      <w:r>
        <w:rPr>
          <w:rFonts w:hint="eastAsia" w:ascii="黑体" w:eastAsia="黑体" w:cs="黑体"/>
          <w:b/>
          <w:bCs/>
          <w:kern w:val="0"/>
          <w:sz w:val="24"/>
        </w:rPr>
        <w:t>1.</w:t>
      </w:r>
      <w:r>
        <w:rPr>
          <w:rFonts w:hint="eastAsia" w:ascii="黑体" w:eastAsia="黑体"/>
          <w:kern w:val="0"/>
          <w:sz w:val="28"/>
          <w:szCs w:val="28"/>
        </w:rPr>
        <w:t>任务来源</w:t>
      </w:r>
    </w:p>
    <w:p>
      <w:pPr>
        <w:snapToGrid w:val="0"/>
        <w:spacing w:line="360" w:lineRule="auto"/>
        <w:ind w:firstLine="480" w:firstLineChars="200"/>
        <w:rPr>
          <w:rFonts w:hint="eastAsia" w:ascii="黑体" w:eastAsia="黑体"/>
          <w:kern w:val="0"/>
          <w:sz w:val="24"/>
        </w:rPr>
      </w:pPr>
      <w:r>
        <w:rPr>
          <w:rFonts w:hint="eastAsia" w:ascii="宋体" w:hAnsi="宋体"/>
          <w:kern w:val="0"/>
          <w:sz w:val="24"/>
        </w:rPr>
        <w:t>根据中国电子</w:t>
      </w:r>
      <w:r>
        <w:rPr>
          <w:rFonts w:hint="eastAsia" w:ascii="宋体" w:hAnsi="宋体"/>
          <w:kern w:val="0"/>
          <w:sz w:val="24"/>
          <w:lang w:eastAsia="zh-CN"/>
        </w:rPr>
        <w:t>工业</w:t>
      </w:r>
      <w:r>
        <w:rPr>
          <w:rFonts w:hint="eastAsia" w:ascii="宋体" w:hAnsi="宋体"/>
          <w:kern w:val="0"/>
          <w:sz w:val="24"/>
        </w:rPr>
        <w:t>标准化技术</w:t>
      </w:r>
      <w:r>
        <w:rPr>
          <w:rFonts w:hint="eastAsia" w:ascii="宋体" w:hAnsi="宋体"/>
          <w:kern w:val="0"/>
          <w:sz w:val="24"/>
          <w:lang w:eastAsia="zh-CN"/>
        </w:rPr>
        <w:t>协会标准制修订安排</w:t>
      </w:r>
      <w:r>
        <w:rPr>
          <w:rFonts w:hint="eastAsia" w:ascii="宋体" w:hAnsi="宋体"/>
          <w:kern w:val="0"/>
          <w:sz w:val="24"/>
        </w:rPr>
        <w:t>，《绿色设计产品评价规范</w:t>
      </w:r>
      <w:r>
        <w:rPr>
          <w:rFonts w:hint="eastAsia" w:ascii="宋体" w:hAnsi="宋体"/>
          <w:kern w:val="0"/>
          <w:sz w:val="24"/>
          <w:lang w:val="en-US" w:eastAsia="zh-CN"/>
        </w:rPr>
        <w:t xml:space="preserve"> </w:t>
      </w:r>
      <w:r>
        <w:rPr>
          <w:rFonts w:hint="eastAsia" w:ascii="宋体" w:hAnsi="宋体"/>
          <w:kern w:val="0"/>
          <w:sz w:val="24"/>
        </w:rPr>
        <w:t>信息设备用不间断电源》（计划号：CESA-2018-3-03</w:t>
      </w:r>
      <w:r>
        <w:rPr>
          <w:rFonts w:hint="eastAsia" w:ascii="宋体" w:hAnsi="宋体"/>
          <w:kern w:val="0"/>
          <w:sz w:val="24"/>
          <w:lang w:val="en-US" w:eastAsia="zh-CN"/>
        </w:rPr>
        <w:t>2</w:t>
      </w:r>
      <w:r>
        <w:rPr>
          <w:rFonts w:hint="eastAsia" w:ascii="宋体" w:hAnsi="宋体"/>
          <w:kern w:val="0"/>
          <w:sz w:val="24"/>
        </w:rPr>
        <w:t>）团体标准由</w:t>
      </w:r>
      <w:r>
        <w:rPr>
          <w:rFonts w:hint="eastAsia" w:ascii="宋体" w:hAnsi="宋体"/>
          <w:kern w:val="0"/>
          <w:sz w:val="24"/>
          <w:lang w:eastAsia="zh-CN"/>
        </w:rPr>
        <w:t>中国电子技术标准化研究院</w:t>
      </w:r>
      <w:r>
        <w:rPr>
          <w:rFonts w:hint="eastAsia" w:ascii="宋体" w:hAnsi="宋体"/>
          <w:kern w:val="0"/>
          <w:sz w:val="24"/>
        </w:rPr>
        <w:t>牵头起草</w:t>
      </w:r>
      <w:r>
        <w:rPr>
          <w:rFonts w:hint="eastAsia" w:ascii="黑体" w:eastAsia="黑体"/>
          <w:kern w:val="0"/>
          <w:sz w:val="24"/>
        </w:rPr>
        <w:t>。</w:t>
      </w:r>
    </w:p>
    <w:p>
      <w:pPr>
        <w:snapToGrid w:val="0"/>
        <w:spacing w:before="156" w:beforeLines="50" w:after="156" w:afterLines="50"/>
        <w:ind w:firstLine="472" w:firstLineChars="196"/>
        <w:rPr>
          <w:rFonts w:hint="eastAsia" w:ascii="黑体" w:eastAsia="黑体" w:cs="黑体"/>
          <w:b/>
          <w:bCs/>
          <w:kern w:val="0"/>
          <w:sz w:val="24"/>
        </w:rPr>
      </w:pPr>
      <w:r>
        <w:rPr>
          <w:rFonts w:hint="eastAsia" w:ascii="黑体" w:eastAsia="黑体" w:cs="黑体"/>
          <w:b/>
          <w:bCs/>
          <w:kern w:val="0"/>
          <w:sz w:val="24"/>
        </w:rPr>
        <w:t>2.</w:t>
      </w:r>
      <w:r>
        <w:rPr>
          <w:rFonts w:hint="eastAsia" w:ascii="黑体" w:eastAsia="黑体"/>
          <w:kern w:val="0"/>
          <w:sz w:val="28"/>
          <w:szCs w:val="28"/>
        </w:rPr>
        <w:t>主要工作过程</w:t>
      </w:r>
    </w:p>
    <w:p>
      <w:pPr>
        <w:snapToGrid w:val="0"/>
        <w:spacing w:line="360" w:lineRule="auto"/>
        <w:ind w:firstLine="480" w:firstLineChars="200"/>
        <w:rPr>
          <w:rFonts w:hint="eastAsia" w:ascii="宋体" w:hAnsi="宋体"/>
          <w:kern w:val="0"/>
          <w:sz w:val="24"/>
          <w:lang w:val="en-US" w:eastAsia="zh-CN"/>
        </w:rPr>
      </w:pPr>
      <w:r>
        <w:rPr>
          <w:rFonts w:hint="eastAsia" w:ascii="宋体" w:hAnsi="宋体"/>
          <w:kern w:val="0"/>
          <w:sz w:val="24"/>
          <w:lang w:val="en-US" w:eastAsia="zh-CN"/>
        </w:rPr>
        <w:t>2018年10月，</w:t>
      </w:r>
      <w:r>
        <w:rPr>
          <w:rFonts w:hint="eastAsia" w:ascii="宋体" w:hAnsi="宋体"/>
          <w:kern w:val="0"/>
          <w:sz w:val="24"/>
        </w:rPr>
        <w:t>中国电子</w:t>
      </w:r>
      <w:r>
        <w:rPr>
          <w:rFonts w:hint="eastAsia" w:ascii="宋体" w:hAnsi="宋体"/>
          <w:kern w:val="0"/>
          <w:sz w:val="24"/>
          <w:lang w:eastAsia="zh-CN"/>
        </w:rPr>
        <w:t>工业</w:t>
      </w:r>
      <w:r>
        <w:rPr>
          <w:rFonts w:hint="eastAsia" w:ascii="宋体" w:hAnsi="宋体"/>
          <w:kern w:val="0"/>
          <w:sz w:val="24"/>
        </w:rPr>
        <w:t>标准化技术</w:t>
      </w:r>
      <w:r>
        <w:rPr>
          <w:rFonts w:hint="eastAsia" w:ascii="宋体" w:hAnsi="宋体"/>
          <w:kern w:val="0"/>
          <w:sz w:val="24"/>
          <w:lang w:eastAsia="zh-CN"/>
        </w:rPr>
        <w:t>协会批准该标准立项。</w:t>
      </w:r>
      <w:r>
        <w:rPr>
          <w:rFonts w:hint="eastAsia" w:ascii="宋体" w:hAnsi="宋体"/>
          <w:kern w:val="0"/>
          <w:sz w:val="24"/>
          <w:lang w:val="en-US" w:eastAsia="zh-CN"/>
        </w:rPr>
        <w:t>2019年5月，起草组在北京召开了标准起草会，参加会议的单位有中国电子技术标准化研究院、中家院（北京）检测认证有限公司、北京赛西科技有限公司、北京工翔科技有限公司、厦门科华恒盛股份有限公司、山东科普电源系统有限公司和工业和信息化部电子第五研究所等单位。起草组在会后按照会议内容对标准草案进行了修改</w:t>
      </w:r>
      <w:bookmarkStart w:id="0" w:name="_GoBack"/>
      <w:bookmarkEnd w:id="0"/>
      <w:r>
        <w:rPr>
          <w:rFonts w:hint="eastAsia" w:ascii="宋体" w:hAnsi="宋体"/>
          <w:kern w:val="0"/>
          <w:sz w:val="24"/>
          <w:lang w:val="en-US" w:eastAsia="zh-CN"/>
        </w:rPr>
        <w:t>。</w:t>
      </w:r>
    </w:p>
    <w:p>
      <w:pPr>
        <w:snapToGrid w:val="0"/>
        <w:spacing w:before="156" w:beforeLines="50" w:after="156" w:afterLines="50"/>
        <w:ind w:firstLine="280" w:firstLineChars="100"/>
        <w:rPr>
          <w:rFonts w:hint="eastAsia" w:ascii="黑体" w:eastAsia="黑体"/>
          <w:kern w:val="0"/>
          <w:sz w:val="28"/>
          <w:szCs w:val="28"/>
        </w:rPr>
      </w:pPr>
      <w:r>
        <w:rPr>
          <w:rFonts w:ascii="黑体" w:eastAsia="黑体"/>
          <w:kern w:val="0"/>
          <w:sz w:val="28"/>
          <w:szCs w:val="28"/>
        </w:rPr>
        <w:t xml:space="preserve">3 </w:t>
      </w:r>
      <w:r>
        <w:rPr>
          <w:rFonts w:hint="eastAsia" w:ascii="黑体" w:eastAsia="黑体"/>
          <w:kern w:val="0"/>
          <w:sz w:val="28"/>
          <w:szCs w:val="28"/>
        </w:rPr>
        <w:t>.主要参加单位和工作组成员及其所做的工作</w:t>
      </w:r>
    </w:p>
    <w:p>
      <w:pPr>
        <w:snapToGrid w:val="0"/>
        <w:spacing w:line="360" w:lineRule="auto"/>
        <w:ind w:firstLine="470" w:firstLineChars="196"/>
        <w:rPr>
          <w:rFonts w:hint="eastAsia" w:ascii="宋体" w:hAnsi="宋体"/>
          <w:kern w:val="0"/>
          <w:sz w:val="24"/>
        </w:rPr>
      </w:pPr>
      <w:r>
        <w:rPr>
          <w:rFonts w:hint="eastAsia" w:ascii="宋体" w:hAnsi="宋体"/>
          <w:kern w:val="0"/>
          <w:sz w:val="24"/>
          <w:lang w:val="en-US" w:eastAsia="zh-CN"/>
        </w:rPr>
        <w:t>中国电子技术标准化研究院和中家院（北京）检测认证有限公司是本标准的主要执笔单位。另外北京工翔科技有限公司、厦门科华恒盛股份有限公司、山东科普电源系统有限公司等单位也在不同程度上参与了标准的编制</w:t>
      </w:r>
      <w:r>
        <w:rPr>
          <w:rFonts w:hint="eastAsia" w:ascii="宋体" w:hAnsi="宋体"/>
          <w:kern w:val="0"/>
          <w:sz w:val="24"/>
        </w:rPr>
        <w:t>。</w:t>
      </w:r>
    </w:p>
    <w:p>
      <w:pPr>
        <w:numPr>
          <w:ilvl w:val="0"/>
          <w:numId w:val="2"/>
        </w:numPr>
        <w:snapToGrid w:val="0"/>
        <w:spacing w:before="312" w:beforeLines="100" w:after="312" w:afterLines="100"/>
        <w:rPr>
          <w:rFonts w:hint="eastAsia" w:ascii="黑体" w:eastAsia="黑体" w:cs="黑体"/>
          <w:b/>
          <w:bCs/>
          <w:kern w:val="0"/>
          <w:sz w:val="28"/>
          <w:szCs w:val="28"/>
        </w:rPr>
      </w:pPr>
      <w:r>
        <w:rPr>
          <w:rFonts w:hint="eastAsia" w:ascii="黑体" w:eastAsia="黑体" w:cs="黑体"/>
          <w:b/>
          <w:bCs/>
          <w:kern w:val="0"/>
          <w:sz w:val="28"/>
          <w:szCs w:val="28"/>
        </w:rPr>
        <w:t>制定背景</w:t>
      </w:r>
    </w:p>
    <w:p>
      <w:pPr>
        <w:snapToGrid w:val="0"/>
        <w:spacing w:line="360" w:lineRule="auto"/>
        <w:ind w:firstLine="470" w:firstLineChars="196"/>
        <w:rPr>
          <w:rFonts w:hint="eastAsia" w:ascii="宋体" w:hAnsi="宋体"/>
          <w:kern w:val="0"/>
          <w:sz w:val="24"/>
          <w:lang w:eastAsia="zh-CN"/>
        </w:rPr>
      </w:pPr>
      <w:r>
        <w:rPr>
          <w:rFonts w:hint="eastAsia" w:ascii="宋体" w:hAnsi="宋体"/>
          <w:kern w:val="0"/>
          <w:sz w:val="24"/>
        </w:rPr>
        <w:t>信息设备用不间断电源</w:t>
      </w:r>
      <w:r>
        <w:rPr>
          <w:rFonts w:hint="eastAsia" w:ascii="宋体" w:hAnsi="宋体"/>
          <w:kern w:val="0"/>
          <w:sz w:val="24"/>
          <w:lang w:eastAsia="zh-CN"/>
        </w:rPr>
        <w:t>是保障信息设备使用的重要部件，尤其是在大数据时代，不间断电源在数据中心建设中起到了重要的作用。</w:t>
      </w:r>
    </w:p>
    <w:p>
      <w:pPr>
        <w:snapToGrid w:val="0"/>
        <w:spacing w:line="360" w:lineRule="auto"/>
        <w:ind w:firstLine="470" w:firstLineChars="196"/>
        <w:rPr>
          <w:rFonts w:hint="eastAsia" w:ascii="宋体" w:hAnsi="宋体"/>
          <w:kern w:val="0"/>
          <w:sz w:val="24"/>
        </w:rPr>
      </w:pPr>
      <w:r>
        <w:rPr>
          <w:rFonts w:hint="eastAsia" w:ascii="宋体" w:hAnsi="宋体"/>
          <w:kern w:val="0"/>
          <w:sz w:val="24"/>
        </w:rPr>
        <w:t>为贯彻落实制造强国战略、《工业绿色发展规划（2016-2020）》《绿色制造工程实施指南（2016-2020年）》，加快推进绿色制造，工业和信息化部2016年发文开展绿色制造体系建设。其具体内容包括绿色产品、绿色工厂、绿色园区和绿色供应链的建设。</w:t>
      </w:r>
    </w:p>
    <w:p>
      <w:pPr>
        <w:snapToGrid w:val="0"/>
        <w:spacing w:line="360" w:lineRule="auto"/>
        <w:ind w:firstLine="470" w:firstLineChars="196"/>
        <w:rPr>
          <w:rFonts w:hint="eastAsia" w:ascii="宋体" w:hAnsi="宋体"/>
          <w:kern w:val="0"/>
          <w:sz w:val="24"/>
        </w:rPr>
      </w:pPr>
      <w:r>
        <w:rPr>
          <w:rFonts w:ascii="宋体" w:hAnsi="宋体"/>
          <w:kern w:val="0"/>
          <w:sz w:val="24"/>
        </w:rPr>
        <w:t>绿色设计标准是规范工业企业生产行为、推动绿色制造发展的重要依据，因此，建立关于</w:t>
      </w:r>
      <w:r>
        <w:rPr>
          <w:rFonts w:hint="eastAsia" w:ascii="宋体" w:hAnsi="宋体"/>
          <w:kern w:val="0"/>
          <w:sz w:val="24"/>
          <w:lang w:eastAsia="zh-CN"/>
        </w:rPr>
        <w:t>信息设备用不间断电源</w:t>
      </w:r>
      <w:r>
        <w:rPr>
          <w:rFonts w:ascii="宋体" w:hAnsi="宋体"/>
          <w:kern w:val="0"/>
          <w:sz w:val="24"/>
        </w:rPr>
        <w:t>的绿色设计产品评价标准，对于充分发挥标准的引领作用，更好地做好在全行业范围内全面推进绿色制造工作具有重要意义</w:t>
      </w:r>
      <w:r>
        <w:rPr>
          <w:rFonts w:hint="eastAsia" w:ascii="宋体" w:hAnsi="宋体"/>
          <w:kern w:val="0"/>
          <w:sz w:val="24"/>
        </w:rPr>
        <w:t>。</w:t>
      </w:r>
    </w:p>
    <w:p>
      <w:pPr>
        <w:numPr>
          <w:ilvl w:val="0"/>
          <w:numId w:val="2"/>
        </w:numPr>
        <w:snapToGrid w:val="0"/>
        <w:spacing w:before="312" w:beforeLines="100" w:after="312" w:afterLines="100"/>
        <w:rPr>
          <w:rFonts w:hint="eastAsia" w:ascii="黑体" w:eastAsia="黑体" w:cs="黑体"/>
          <w:b/>
          <w:bCs/>
          <w:kern w:val="0"/>
          <w:sz w:val="28"/>
          <w:szCs w:val="28"/>
        </w:rPr>
      </w:pPr>
      <w:r>
        <w:rPr>
          <w:rFonts w:hint="eastAsia" w:ascii="黑体" w:eastAsia="黑体" w:cs="黑体"/>
          <w:b/>
          <w:bCs/>
          <w:kern w:val="0"/>
          <w:sz w:val="28"/>
          <w:szCs w:val="28"/>
        </w:rPr>
        <w:t>标准编制原则和主要内容</w:t>
      </w:r>
    </w:p>
    <w:p>
      <w:pPr>
        <w:snapToGrid w:val="0"/>
        <w:spacing w:before="156" w:beforeLines="50" w:after="156" w:afterLines="50"/>
        <w:ind w:firstLine="472" w:firstLineChars="196"/>
        <w:rPr>
          <w:rFonts w:hint="eastAsia" w:ascii="黑体" w:eastAsia="黑体" w:cs="黑体"/>
          <w:b/>
          <w:bCs/>
          <w:kern w:val="0"/>
          <w:sz w:val="24"/>
        </w:rPr>
      </w:pPr>
      <w:r>
        <w:rPr>
          <w:rFonts w:hint="eastAsia" w:ascii="黑体" w:eastAsia="黑体" w:cs="黑体"/>
          <w:b/>
          <w:bCs/>
          <w:kern w:val="0"/>
          <w:sz w:val="24"/>
        </w:rPr>
        <w:t xml:space="preserve">1、 标准编制原则 </w:t>
      </w:r>
    </w:p>
    <w:p>
      <w:pPr>
        <w:snapToGrid w:val="0"/>
        <w:spacing w:line="360" w:lineRule="auto"/>
        <w:ind w:firstLine="470" w:firstLineChars="196"/>
        <w:rPr>
          <w:rFonts w:hint="eastAsia" w:ascii="宋体" w:hAnsi="宋体"/>
          <w:kern w:val="0"/>
          <w:sz w:val="24"/>
        </w:rPr>
      </w:pPr>
      <w:r>
        <w:rPr>
          <w:rFonts w:hint="eastAsia" w:ascii="宋体" w:hAnsi="宋体"/>
          <w:kern w:val="0"/>
          <w:sz w:val="24"/>
        </w:rPr>
        <w:t>1）标准的制定遵循了适用性、科学性和可操作性原则。标准工作组对国内外变压器标准情况和绿色制造标准情况进行了收集和分析，并在调研和验证的基础上起草的。标准编写按照</w:t>
      </w:r>
      <w:r>
        <w:rPr>
          <w:rFonts w:ascii="宋体" w:hAnsi="宋体"/>
          <w:kern w:val="0"/>
          <w:sz w:val="24"/>
        </w:rPr>
        <w:t>GB/T1.1</w:t>
      </w:r>
      <w:r>
        <w:rPr>
          <w:rFonts w:hint="eastAsia" w:ascii="宋体" w:hAnsi="宋体"/>
          <w:kern w:val="0"/>
          <w:sz w:val="24"/>
        </w:rPr>
        <w:t>等格式要求</w:t>
      </w:r>
      <w:r>
        <w:rPr>
          <w:rFonts w:ascii="宋体" w:hAnsi="宋体"/>
          <w:kern w:val="0"/>
          <w:sz w:val="24"/>
        </w:rPr>
        <w:t>进行本标准的制订工作。</w:t>
      </w:r>
    </w:p>
    <w:p>
      <w:pPr>
        <w:autoSpaceDE w:val="0"/>
        <w:autoSpaceDN w:val="0"/>
        <w:adjustRightInd w:val="0"/>
        <w:spacing w:line="360" w:lineRule="auto"/>
        <w:ind w:firstLine="480" w:firstLineChars="200"/>
        <w:jc w:val="left"/>
        <w:rPr>
          <w:rFonts w:ascii="宋体" w:hAnsi="宋体"/>
          <w:kern w:val="0"/>
          <w:sz w:val="24"/>
        </w:rPr>
      </w:pPr>
      <w:r>
        <w:rPr>
          <w:rFonts w:ascii="宋体" w:hAnsi="宋体"/>
          <w:kern w:val="0"/>
          <w:sz w:val="24"/>
        </w:rPr>
        <w:t>2</w:t>
      </w:r>
      <w:r>
        <w:rPr>
          <w:rFonts w:hint="eastAsia" w:ascii="宋体" w:hAnsi="宋体"/>
          <w:kern w:val="0"/>
          <w:sz w:val="24"/>
        </w:rPr>
        <w:t>）</w:t>
      </w:r>
      <w:r>
        <w:rPr>
          <w:rFonts w:ascii="宋体" w:hAnsi="宋体"/>
          <w:kern w:val="0"/>
          <w:sz w:val="24"/>
        </w:rPr>
        <w:t xml:space="preserve"> </w:t>
      </w:r>
      <w:r>
        <w:rPr>
          <w:rFonts w:hint="eastAsia" w:ascii="宋体" w:hAnsi="宋体"/>
          <w:kern w:val="0"/>
          <w:sz w:val="24"/>
        </w:rPr>
        <w:t>本着“技术先进、符合国情”的指导思想，在原标准的基础上，参照其它同类标准体系结构、内容框架一致，易于企业理解、掌握，使用便捷。</w:t>
      </w:r>
    </w:p>
    <w:p>
      <w:pPr>
        <w:autoSpaceDE w:val="0"/>
        <w:autoSpaceDN w:val="0"/>
        <w:adjustRightInd w:val="0"/>
        <w:spacing w:line="360" w:lineRule="auto"/>
        <w:ind w:firstLine="480" w:firstLineChars="200"/>
        <w:jc w:val="left"/>
        <w:rPr>
          <w:rFonts w:hint="eastAsia" w:ascii="宋体" w:hAnsi="宋体"/>
          <w:kern w:val="0"/>
          <w:sz w:val="24"/>
        </w:rPr>
      </w:pPr>
      <w:r>
        <w:rPr>
          <w:rFonts w:ascii="宋体" w:hAnsi="宋体"/>
          <w:kern w:val="0"/>
          <w:sz w:val="24"/>
        </w:rPr>
        <w:t>3</w:t>
      </w:r>
      <w:r>
        <w:rPr>
          <w:rFonts w:hint="eastAsia" w:ascii="宋体" w:hAnsi="宋体"/>
          <w:kern w:val="0"/>
          <w:sz w:val="24"/>
        </w:rPr>
        <w:t>）</w:t>
      </w:r>
      <w:r>
        <w:rPr>
          <w:rFonts w:ascii="宋体" w:hAnsi="宋体"/>
          <w:kern w:val="0"/>
          <w:sz w:val="24"/>
        </w:rPr>
        <w:t xml:space="preserve"> </w:t>
      </w:r>
      <w:r>
        <w:rPr>
          <w:rFonts w:hint="eastAsia" w:ascii="宋体" w:hAnsi="宋体"/>
          <w:kern w:val="0"/>
          <w:sz w:val="24"/>
        </w:rPr>
        <w:t>以满足行业需求为目的，既要提高标准技术水平，促进企业技术进步，实现绿色制造；同时又有利于合理利用资源，优化全生命周期成本，提高经济效益。</w:t>
      </w:r>
    </w:p>
    <w:p>
      <w:pPr>
        <w:snapToGrid w:val="0"/>
        <w:spacing w:before="156" w:beforeLines="50" w:after="156" w:afterLines="50"/>
        <w:ind w:firstLine="472" w:firstLineChars="196"/>
        <w:rPr>
          <w:rFonts w:hint="eastAsia" w:ascii="黑体" w:eastAsia="黑体" w:cs="黑体"/>
          <w:b/>
          <w:bCs/>
          <w:kern w:val="0"/>
          <w:sz w:val="24"/>
        </w:rPr>
      </w:pPr>
      <w:r>
        <w:rPr>
          <w:rFonts w:hint="eastAsia" w:ascii="黑体" w:eastAsia="黑体" w:cs="黑体"/>
          <w:b/>
          <w:bCs/>
          <w:kern w:val="0"/>
          <w:sz w:val="24"/>
        </w:rPr>
        <w:t>2、 主要内容</w:t>
      </w:r>
    </w:p>
    <w:p>
      <w:pPr>
        <w:pStyle w:val="14"/>
        <w:spacing w:line="360" w:lineRule="auto"/>
        <w:ind w:firstLine="480"/>
        <w:rPr>
          <w:rFonts w:hAnsi="宋体"/>
          <w:sz w:val="24"/>
          <w:szCs w:val="24"/>
        </w:rPr>
      </w:pPr>
      <w:r>
        <w:rPr>
          <w:rFonts w:hAnsi="宋体"/>
          <w:sz w:val="24"/>
          <w:szCs w:val="24"/>
        </w:rPr>
        <w:t>本标准规定了</w:t>
      </w:r>
      <w:r>
        <w:rPr>
          <w:rFonts w:hint="eastAsia" w:hAnsi="宋体"/>
          <w:sz w:val="24"/>
          <w:szCs w:val="24"/>
          <w:lang w:eastAsia="zh-CN"/>
        </w:rPr>
        <w:t>信息设备用不间断电源</w:t>
      </w:r>
      <w:r>
        <w:rPr>
          <w:rFonts w:hAnsi="宋体"/>
          <w:sz w:val="24"/>
          <w:szCs w:val="24"/>
        </w:rPr>
        <w:t>绿色设计产品评价要求、评价方法，以及绿色设计评价报告编制方法。</w:t>
      </w:r>
    </w:p>
    <w:p>
      <w:pPr>
        <w:pStyle w:val="14"/>
        <w:spacing w:line="360" w:lineRule="auto"/>
        <w:ind w:firstLine="480"/>
        <w:rPr>
          <w:rFonts w:hAnsi="宋体"/>
          <w:sz w:val="24"/>
          <w:szCs w:val="24"/>
        </w:rPr>
      </w:pPr>
      <w:r>
        <w:rPr>
          <w:rFonts w:hint="eastAsia" w:hAnsi="宋体"/>
          <w:sz w:val="24"/>
          <w:szCs w:val="24"/>
          <w:lang w:eastAsia="zh-CN"/>
        </w:rPr>
        <w:t>信息设备用不间断电源</w:t>
      </w:r>
      <w:r>
        <w:rPr>
          <w:rFonts w:hAnsi="宋体"/>
          <w:sz w:val="24"/>
          <w:szCs w:val="24"/>
        </w:rPr>
        <w:t>绿色设计产品评价要求，可分为基本要求和产品评价指标要求。其中，基本要求包括企业基本要求、产品基本要求以及信息公开要求三个方面。产品评价指标要求，从资源属性、能源属性、环境属性、产品属性四个方面考虑，要求企业在产品设计之初，通过材料的选择和设计方案的优化等方法来实现的绿色设计。例如，减少所使用材料的种类，使用低毒无毒、可回收的环保型材料，产品易拆解易回收设计，减少产品即包装材料中有害物质含量，提高产品能效，降低噪音，提高光源使用寿命，以及产品安全和电磁兼容方面的要求。</w:t>
      </w:r>
    </w:p>
    <w:p>
      <w:pPr>
        <w:pStyle w:val="14"/>
        <w:spacing w:line="360" w:lineRule="auto"/>
        <w:ind w:firstLine="480"/>
        <w:rPr>
          <w:rFonts w:hAnsi="宋体"/>
          <w:sz w:val="24"/>
          <w:szCs w:val="24"/>
        </w:rPr>
      </w:pPr>
      <w:r>
        <w:rPr>
          <w:rFonts w:hint="eastAsia" w:hAnsi="宋体"/>
          <w:sz w:val="24"/>
          <w:szCs w:val="24"/>
          <w:lang w:eastAsia="zh-CN"/>
        </w:rPr>
        <w:t>信息设备用不间断电源</w:t>
      </w:r>
      <w:r>
        <w:rPr>
          <w:rFonts w:hAnsi="宋体"/>
          <w:sz w:val="24"/>
          <w:szCs w:val="24"/>
        </w:rPr>
        <w:t>绿色设计产品评价方法，可通过企业自我评价或第三方评价进行，绿色设计产品评价结果应形成报告,对基本要求和评价指标要求的符合性情况进行说明，并附生命周期评价报告。</w:t>
      </w:r>
    </w:p>
    <w:p>
      <w:pPr>
        <w:numPr>
          <w:ilvl w:val="0"/>
          <w:numId w:val="2"/>
        </w:numPr>
        <w:snapToGrid w:val="0"/>
        <w:spacing w:before="312" w:beforeLines="100" w:after="312" w:afterLines="100"/>
        <w:rPr>
          <w:rFonts w:ascii="黑体" w:eastAsia="黑体" w:cs="黑体"/>
          <w:b/>
          <w:bCs/>
          <w:kern w:val="0"/>
          <w:sz w:val="28"/>
          <w:szCs w:val="28"/>
        </w:rPr>
      </w:pPr>
      <w:r>
        <w:rPr>
          <w:rFonts w:hint="eastAsia" w:ascii="黑体" w:eastAsia="黑体" w:cs="黑体"/>
          <w:b/>
          <w:bCs/>
          <w:kern w:val="0"/>
          <w:sz w:val="28"/>
          <w:szCs w:val="28"/>
        </w:rPr>
        <w:t>标准中如果涉及专利，应有明确的知识产权说明</w:t>
      </w:r>
    </w:p>
    <w:p>
      <w:pPr>
        <w:ind w:firstLine="600" w:firstLineChars="250"/>
        <w:rPr>
          <w:rFonts w:ascii="宋体" w:hAnsi="宋体"/>
          <w:kern w:val="0"/>
          <w:sz w:val="24"/>
        </w:rPr>
      </w:pPr>
      <w:r>
        <w:rPr>
          <w:rFonts w:hint="eastAsia" w:ascii="宋体" w:hAnsi="宋体"/>
          <w:kern w:val="0"/>
          <w:sz w:val="24"/>
        </w:rPr>
        <w:t>本项目不涉及专利的内容。</w:t>
      </w:r>
    </w:p>
    <w:p>
      <w:pPr>
        <w:rPr>
          <w:rFonts w:ascii="宋体" w:hAnsi="宋体"/>
          <w:sz w:val="24"/>
        </w:rPr>
      </w:pPr>
    </w:p>
    <w:p>
      <w:pPr>
        <w:numPr>
          <w:ilvl w:val="0"/>
          <w:numId w:val="2"/>
        </w:numPr>
        <w:snapToGrid w:val="0"/>
        <w:spacing w:before="312" w:beforeLines="100" w:after="312" w:afterLines="100"/>
        <w:rPr>
          <w:rFonts w:ascii="黑体" w:eastAsia="黑体" w:cs="黑体"/>
          <w:b/>
          <w:bCs/>
          <w:kern w:val="0"/>
          <w:sz w:val="28"/>
          <w:szCs w:val="28"/>
        </w:rPr>
      </w:pPr>
      <w:r>
        <w:rPr>
          <w:rFonts w:hint="eastAsia" w:ascii="黑体" w:eastAsia="黑体" w:cs="黑体"/>
          <w:b/>
          <w:bCs/>
          <w:kern w:val="0"/>
          <w:sz w:val="28"/>
          <w:szCs w:val="28"/>
        </w:rPr>
        <w:t>产业化情况、推广应用论证和预期达到的经济效果等情况</w:t>
      </w:r>
    </w:p>
    <w:p>
      <w:pPr>
        <w:spacing w:line="360" w:lineRule="auto"/>
        <w:ind w:firstLine="480" w:firstLineChars="200"/>
        <w:rPr>
          <w:rFonts w:hint="eastAsia" w:ascii="宋体" w:hAnsi="宋体"/>
          <w:sz w:val="24"/>
        </w:rPr>
      </w:pPr>
      <w:r>
        <w:rPr>
          <w:rFonts w:hint="eastAsia" w:ascii="宋体" w:hAnsi="宋体"/>
          <w:sz w:val="24"/>
        </w:rPr>
        <w:t>通过本规范的实施，不仅可以鼓励企业通过技术创新降低能源消耗，节省能源；并且规范要求在产品设计时，采用器件或部品拆解易拆解方案，标识器件或部品材料类别，便于生命周期终结时的回收利用，从而促进资源回收再利用。所以本规范的实施对节能量及节能效益的提升带来较为重要的意义</w:t>
      </w:r>
      <w:r>
        <w:rPr>
          <w:rFonts w:ascii="宋体" w:hAnsi="宋体"/>
          <w:sz w:val="24"/>
        </w:rPr>
        <w:t>。</w:t>
      </w:r>
    </w:p>
    <w:p>
      <w:pPr>
        <w:numPr>
          <w:ilvl w:val="0"/>
          <w:numId w:val="2"/>
        </w:numPr>
        <w:snapToGrid w:val="0"/>
        <w:spacing w:before="312" w:beforeLines="100" w:after="312" w:afterLines="100" w:line="360" w:lineRule="auto"/>
        <w:rPr>
          <w:rFonts w:ascii="宋体" w:hAnsi="宋体"/>
          <w:sz w:val="24"/>
        </w:rPr>
      </w:pPr>
      <w:r>
        <w:rPr>
          <w:rFonts w:hint="eastAsia" w:ascii="黑体" w:eastAsia="黑体" w:cs="黑体"/>
          <w:b/>
          <w:bCs/>
          <w:kern w:val="0"/>
          <w:sz w:val="28"/>
          <w:szCs w:val="28"/>
        </w:rPr>
        <w:t>采用国际标准和国外先进标准情况，与国际、国外同类标准水平的对比情况，</w:t>
      </w:r>
    </w:p>
    <w:p>
      <w:pPr>
        <w:pStyle w:val="5"/>
        <w:spacing w:before="0" w:beforeAutospacing="0" w:after="0" w:afterAutospacing="0" w:line="360" w:lineRule="auto"/>
        <w:ind w:right="-105" w:rightChars="-50" w:firstLine="480" w:firstLineChars="200"/>
        <w:rPr>
          <w:rFonts w:ascii="宋体" w:hAnsi="宋体" w:eastAsia="宋体"/>
          <w:kern w:val="2"/>
        </w:rPr>
      </w:pPr>
      <w:r>
        <w:rPr>
          <w:rFonts w:ascii="宋体" w:hAnsi="宋体" w:eastAsia="宋体"/>
          <w:kern w:val="2"/>
        </w:rPr>
        <w:t>绿色设计产品标准涵盖了资源、能源、环境、产品等多个维度的指标要求，从定性和定量两个角度评价产品全生命周期的综合影响。美国能源之星(Energy)</w:t>
      </w:r>
      <w:r>
        <w:rPr>
          <w:rFonts w:hint="eastAsia" w:ascii="宋体" w:hAnsi="宋体" w:eastAsia="宋体"/>
          <w:kern w:val="2"/>
        </w:rPr>
        <w:t>、</w:t>
      </w:r>
      <w:r>
        <w:rPr>
          <w:rFonts w:ascii="宋体" w:hAnsi="宋体" w:eastAsia="宋体"/>
          <w:kern w:val="2"/>
        </w:rPr>
        <w:t>欧盟RoHS、REACH、WEEE等法规、IEEE1680系列标准以及我国GB/T 32161、GB/T 32162标准等国内外标准化工作的有益成果，均可作为本标准制定的参考和借鉴。</w:t>
      </w:r>
    </w:p>
    <w:p>
      <w:pPr>
        <w:pStyle w:val="5"/>
        <w:spacing w:before="0" w:beforeAutospacing="0" w:after="0" w:afterAutospacing="0" w:line="360" w:lineRule="auto"/>
        <w:ind w:right="-105" w:rightChars="-50" w:firstLine="480" w:firstLineChars="200"/>
        <w:rPr>
          <w:rFonts w:hint="eastAsia" w:ascii="宋体" w:hAnsi="宋体" w:eastAsia="宋体"/>
          <w:kern w:val="2"/>
        </w:rPr>
      </w:pPr>
      <w:r>
        <w:rPr>
          <w:rFonts w:ascii="宋体" w:hAnsi="宋体" w:eastAsia="宋体"/>
          <w:kern w:val="2"/>
        </w:rPr>
        <w:t>欧盟于1992年出台的“生态标签体系”(eco-Lable)，到目前为止，该体系的范围覆盖了纺织品、电子电气产品、涂料、洗涤剂等在内的几十种产品，并且其扩展的速度也在加快。欧盟出台此政策，在为民众创造安全生活条件的同时，也通过此绿色贸易壁垒，拒他国产品与国门之外。</w:t>
      </w:r>
    </w:p>
    <w:p>
      <w:pPr>
        <w:spacing w:line="360" w:lineRule="auto"/>
        <w:ind w:firstLine="480" w:firstLineChars="200"/>
        <w:rPr>
          <w:rFonts w:ascii="宋体" w:hAnsi="宋体"/>
          <w:sz w:val="24"/>
        </w:rPr>
      </w:pPr>
      <w:r>
        <w:rPr>
          <w:rFonts w:ascii="宋体" w:hAnsi="宋体"/>
          <w:sz w:val="24"/>
        </w:rPr>
        <w:t>本标准作为绿色设计标准体系的一员，将集合</w:t>
      </w:r>
      <w:r>
        <w:rPr>
          <w:rFonts w:hint="eastAsia" w:hAnsi="宋体"/>
          <w:sz w:val="24"/>
          <w:szCs w:val="24"/>
          <w:lang w:eastAsia="zh-CN"/>
        </w:rPr>
        <w:t>信息设备用不间断电源</w:t>
      </w:r>
      <w:r>
        <w:rPr>
          <w:rFonts w:ascii="宋体" w:hAnsi="宋体"/>
          <w:sz w:val="24"/>
        </w:rPr>
        <w:t>领域的优势资源和尖端力量，制定合理可行的绿色设计产品标准，指导我国</w:t>
      </w:r>
      <w:r>
        <w:rPr>
          <w:rFonts w:hint="eastAsia" w:hAnsi="宋体"/>
          <w:sz w:val="24"/>
          <w:szCs w:val="24"/>
          <w:lang w:eastAsia="zh-CN"/>
        </w:rPr>
        <w:t>信息设备用不间断电源</w:t>
      </w:r>
      <w:r>
        <w:rPr>
          <w:rFonts w:ascii="宋体" w:hAnsi="宋体"/>
          <w:sz w:val="24"/>
        </w:rPr>
        <w:t>产品的绿色设计制造</w:t>
      </w:r>
      <w:r>
        <w:rPr>
          <w:rFonts w:hint="eastAsia" w:ascii="宋体" w:hAnsi="宋体"/>
          <w:sz w:val="24"/>
        </w:rPr>
        <w:t>。</w:t>
      </w:r>
    </w:p>
    <w:p>
      <w:pPr>
        <w:numPr>
          <w:ilvl w:val="0"/>
          <w:numId w:val="2"/>
        </w:numPr>
        <w:snapToGrid w:val="0"/>
        <w:spacing w:before="312" w:beforeLines="100" w:after="312" w:afterLines="100"/>
        <w:rPr>
          <w:rFonts w:ascii="黑体" w:eastAsia="黑体" w:cs="黑体"/>
          <w:b/>
          <w:bCs/>
          <w:kern w:val="0"/>
          <w:sz w:val="28"/>
          <w:szCs w:val="28"/>
        </w:rPr>
      </w:pPr>
      <w:r>
        <w:rPr>
          <w:rFonts w:hint="eastAsia" w:ascii="黑体" w:eastAsia="黑体" w:cs="黑体"/>
          <w:b/>
          <w:bCs/>
          <w:kern w:val="0"/>
          <w:sz w:val="28"/>
          <w:szCs w:val="28"/>
        </w:rPr>
        <w:t>与现行相关法律、法规、规章及相关标准，特别是强制性标准的协调性</w:t>
      </w:r>
    </w:p>
    <w:p>
      <w:pPr>
        <w:ind w:firstLine="480" w:firstLineChars="200"/>
        <w:rPr>
          <w:rFonts w:ascii="宋体" w:hAnsi="宋体"/>
          <w:sz w:val="24"/>
        </w:rPr>
      </w:pPr>
      <w:r>
        <w:rPr>
          <w:rFonts w:hint="eastAsia" w:ascii="宋体" w:hAnsi="宋体"/>
          <w:kern w:val="0"/>
          <w:sz w:val="24"/>
        </w:rPr>
        <w:t>符合现行相关法律、法规。</w:t>
      </w:r>
    </w:p>
    <w:p>
      <w:pPr>
        <w:numPr>
          <w:ilvl w:val="0"/>
          <w:numId w:val="2"/>
        </w:numPr>
        <w:snapToGrid w:val="0"/>
        <w:spacing w:before="312" w:beforeLines="100" w:after="312" w:afterLines="100"/>
        <w:rPr>
          <w:rFonts w:ascii="黑体" w:eastAsia="黑体" w:cs="黑体"/>
          <w:b/>
          <w:bCs/>
          <w:kern w:val="0"/>
          <w:sz w:val="28"/>
          <w:szCs w:val="28"/>
        </w:rPr>
      </w:pPr>
      <w:r>
        <w:rPr>
          <w:rFonts w:hint="eastAsia" w:ascii="黑体" w:eastAsia="黑体" w:cs="黑体"/>
          <w:b/>
          <w:bCs/>
          <w:kern w:val="0"/>
          <w:sz w:val="28"/>
          <w:szCs w:val="28"/>
        </w:rPr>
        <w:t>重大分歧意见的处理经过和依据</w:t>
      </w:r>
    </w:p>
    <w:p>
      <w:pPr>
        <w:ind w:firstLine="480" w:firstLineChars="200"/>
        <w:rPr>
          <w:rFonts w:hint="eastAsia" w:ascii="宋体" w:hAnsi="宋体"/>
          <w:kern w:val="0"/>
          <w:sz w:val="24"/>
        </w:rPr>
      </w:pPr>
      <w:r>
        <w:rPr>
          <w:rFonts w:hint="eastAsia" w:ascii="宋体" w:hAnsi="宋体"/>
          <w:kern w:val="0"/>
          <w:sz w:val="24"/>
        </w:rPr>
        <w:t>无。</w:t>
      </w:r>
    </w:p>
    <w:p>
      <w:pPr>
        <w:numPr>
          <w:ilvl w:val="0"/>
          <w:numId w:val="2"/>
        </w:numPr>
        <w:snapToGrid w:val="0"/>
        <w:spacing w:before="312" w:beforeLines="100" w:after="312" w:afterLines="100"/>
        <w:rPr>
          <w:rFonts w:ascii="黑体" w:eastAsia="黑体" w:cs="黑体"/>
          <w:b/>
          <w:bCs/>
          <w:kern w:val="0"/>
          <w:sz w:val="28"/>
          <w:szCs w:val="28"/>
        </w:rPr>
      </w:pPr>
      <w:r>
        <w:rPr>
          <w:rFonts w:hint="eastAsia" w:ascii="黑体" w:eastAsia="黑体" w:cs="黑体"/>
          <w:b/>
          <w:bCs/>
          <w:kern w:val="0"/>
          <w:sz w:val="28"/>
          <w:szCs w:val="28"/>
        </w:rPr>
        <w:t>标准性质的建议说明</w:t>
      </w:r>
    </w:p>
    <w:p>
      <w:pPr>
        <w:ind w:firstLine="480" w:firstLineChars="200"/>
        <w:rPr>
          <w:rFonts w:hint="eastAsia" w:ascii="宋体" w:cs="宋体"/>
          <w:b/>
          <w:bCs/>
          <w:kern w:val="0"/>
          <w:szCs w:val="21"/>
        </w:rPr>
      </w:pPr>
      <w:r>
        <w:rPr>
          <w:rFonts w:hint="eastAsia" w:ascii="宋体" w:hAnsi="宋体"/>
          <w:kern w:val="0"/>
          <w:sz w:val="24"/>
        </w:rPr>
        <w:t>本标准作为推荐性团体标准。</w:t>
      </w:r>
    </w:p>
    <w:p>
      <w:pPr>
        <w:numPr>
          <w:ilvl w:val="0"/>
          <w:numId w:val="2"/>
        </w:numPr>
        <w:snapToGrid w:val="0"/>
        <w:spacing w:before="312" w:beforeLines="100" w:after="312" w:afterLines="100"/>
        <w:rPr>
          <w:rFonts w:ascii="黑体" w:eastAsia="黑体" w:cs="黑体"/>
          <w:b/>
          <w:bCs/>
          <w:kern w:val="0"/>
          <w:sz w:val="28"/>
          <w:szCs w:val="28"/>
        </w:rPr>
      </w:pPr>
      <w:r>
        <w:rPr>
          <w:rFonts w:hint="eastAsia" w:ascii="黑体" w:eastAsia="黑体" w:cs="黑体"/>
          <w:b/>
          <w:bCs/>
          <w:kern w:val="0"/>
          <w:sz w:val="28"/>
          <w:szCs w:val="28"/>
        </w:rPr>
        <w:t>贯彻标准的要求和措施建议（包括组织措施、技术措施、过渡办法、实施日期等）</w:t>
      </w:r>
    </w:p>
    <w:p>
      <w:pPr>
        <w:ind w:firstLine="480" w:firstLineChars="200"/>
        <w:rPr>
          <w:rFonts w:hint="eastAsia" w:ascii="宋体" w:cs="宋体"/>
          <w:b/>
          <w:bCs/>
          <w:kern w:val="0"/>
          <w:szCs w:val="21"/>
        </w:rPr>
      </w:pPr>
      <w:r>
        <w:rPr>
          <w:rFonts w:hint="eastAsia" w:ascii="宋体" w:hAnsi="宋体"/>
          <w:kern w:val="0"/>
          <w:sz w:val="24"/>
        </w:rPr>
        <w:t>建议尽早发布实施。</w:t>
      </w:r>
    </w:p>
    <w:p>
      <w:pPr>
        <w:numPr>
          <w:ilvl w:val="0"/>
          <w:numId w:val="2"/>
        </w:numPr>
        <w:snapToGrid w:val="0"/>
        <w:spacing w:before="312" w:beforeLines="100" w:after="312" w:afterLines="100"/>
        <w:rPr>
          <w:rFonts w:ascii="黑体" w:eastAsia="黑体" w:cs="黑体"/>
          <w:b/>
          <w:bCs/>
          <w:kern w:val="0"/>
          <w:sz w:val="28"/>
          <w:szCs w:val="28"/>
        </w:rPr>
      </w:pPr>
      <w:r>
        <w:rPr>
          <w:rFonts w:hint="eastAsia" w:ascii="黑体" w:eastAsia="黑体" w:cs="黑体"/>
          <w:b/>
          <w:bCs/>
          <w:kern w:val="0"/>
          <w:sz w:val="28"/>
          <w:szCs w:val="28"/>
        </w:rPr>
        <w:t>废止现行相关标准的建议</w:t>
      </w:r>
    </w:p>
    <w:p>
      <w:pPr>
        <w:ind w:firstLine="480" w:firstLineChars="200"/>
        <w:rPr>
          <w:rFonts w:ascii="宋体" w:hAnsi="宋体"/>
          <w:kern w:val="0"/>
          <w:sz w:val="24"/>
        </w:rPr>
      </w:pPr>
      <w:r>
        <w:rPr>
          <w:rFonts w:hint="eastAsia" w:ascii="宋体" w:hAnsi="宋体"/>
          <w:kern w:val="0"/>
          <w:sz w:val="24"/>
        </w:rPr>
        <w:t>无。</w:t>
      </w:r>
    </w:p>
    <w:p>
      <w:pPr>
        <w:numPr>
          <w:ilvl w:val="0"/>
          <w:numId w:val="2"/>
        </w:numPr>
        <w:snapToGrid w:val="0"/>
        <w:spacing w:before="312" w:beforeLines="100" w:after="312" w:afterLines="100"/>
        <w:rPr>
          <w:rFonts w:ascii="黑体" w:eastAsia="黑体" w:cs="黑体"/>
          <w:b/>
          <w:bCs/>
          <w:kern w:val="0"/>
          <w:sz w:val="28"/>
          <w:szCs w:val="28"/>
        </w:rPr>
      </w:pPr>
      <w:r>
        <w:rPr>
          <w:rFonts w:hint="eastAsia" w:ascii="黑体" w:eastAsia="黑体" w:cs="黑体"/>
          <w:b/>
          <w:bCs/>
          <w:kern w:val="0"/>
          <w:sz w:val="28"/>
          <w:szCs w:val="28"/>
        </w:rPr>
        <w:t>其它应予说明的事项</w:t>
      </w:r>
    </w:p>
    <w:p>
      <w:pPr>
        <w:ind w:firstLine="480" w:firstLineChars="200"/>
        <w:rPr>
          <w:rFonts w:hint="eastAsia" w:ascii="宋体" w:hAnsi="宋体"/>
          <w:sz w:val="24"/>
        </w:rPr>
      </w:pPr>
      <w:r>
        <w:rPr>
          <w:rFonts w:hint="eastAsia" w:ascii="宋体" w:hAnsi="宋体"/>
          <w:kern w:val="0"/>
          <w:sz w:val="24"/>
        </w:rPr>
        <w:t>无。</w:t>
      </w:r>
    </w:p>
    <w:p>
      <w:pPr>
        <w:tabs>
          <w:tab w:val="left" w:pos="5295"/>
        </w:tabs>
        <w:wordWrap w:val="0"/>
        <w:jc w:val="right"/>
        <w:rPr>
          <w:rFonts w:hint="eastAsia" w:ascii="宋体" w:hAnsi="宋体" w:cs="宋体"/>
          <w:kern w:val="0"/>
          <w:sz w:val="24"/>
        </w:rPr>
      </w:pPr>
      <w:r>
        <w:rPr>
          <w:rFonts w:hint="eastAsia" w:ascii="宋体" w:hAnsi="宋体" w:cs="宋体"/>
          <w:kern w:val="0"/>
          <w:sz w:val="24"/>
        </w:rPr>
        <w:t xml:space="preserve">标准起草组   </w:t>
      </w:r>
    </w:p>
    <w:p>
      <w:pPr>
        <w:tabs>
          <w:tab w:val="left" w:pos="5295"/>
        </w:tabs>
        <w:jc w:val="right"/>
        <w:rPr>
          <w:rFonts w:hint="eastAsia" w:ascii="宋体" w:hAnsi="宋体" w:cs="宋体"/>
          <w:kern w:val="0"/>
          <w:sz w:val="24"/>
        </w:rPr>
      </w:pPr>
      <w:r>
        <w:rPr>
          <w:rFonts w:hint="eastAsia" w:ascii="宋体" w:hAnsi="宋体" w:cs="宋体"/>
          <w:kern w:val="0"/>
          <w:sz w:val="24"/>
        </w:rPr>
        <w:t>20</w:t>
      </w:r>
      <w:r>
        <w:rPr>
          <w:rFonts w:hint="eastAsia" w:ascii="宋体" w:hAnsi="宋体" w:cs="宋体"/>
          <w:kern w:val="0"/>
          <w:sz w:val="24"/>
          <w:lang w:val="en-US" w:eastAsia="zh-CN"/>
        </w:rPr>
        <w:t>20</w:t>
      </w:r>
      <w:r>
        <w:rPr>
          <w:rFonts w:hint="eastAsia" w:ascii="宋体" w:hAnsi="宋体" w:cs="宋体"/>
          <w:kern w:val="0"/>
          <w:sz w:val="24"/>
        </w:rPr>
        <w:t>年</w:t>
      </w:r>
      <w:r>
        <w:rPr>
          <w:rFonts w:hint="eastAsia" w:ascii="宋体" w:hAnsi="宋体" w:cs="宋体"/>
          <w:kern w:val="0"/>
          <w:sz w:val="24"/>
          <w:lang w:val="en-US" w:eastAsia="zh-CN"/>
        </w:rPr>
        <w:t>2</w:t>
      </w:r>
      <w:r>
        <w:rPr>
          <w:rFonts w:hint="eastAsia" w:ascii="宋体" w:hAnsi="宋体" w:cs="宋体"/>
          <w:kern w:val="0"/>
          <w:sz w:val="24"/>
        </w:rPr>
        <w:t>月</w:t>
      </w:r>
      <w:r>
        <w:rPr>
          <w:rFonts w:hint="eastAsia" w:ascii="宋体" w:hAnsi="宋体" w:cs="宋体"/>
          <w:kern w:val="0"/>
          <w:sz w:val="24"/>
          <w:lang w:val="en-US" w:eastAsia="zh-CN"/>
        </w:rPr>
        <w:t>13</w:t>
      </w:r>
      <w:r>
        <w:rPr>
          <w:rFonts w:hint="eastAsia" w:ascii="宋体" w:hAnsi="宋体" w:cs="宋体"/>
          <w:kern w:val="0"/>
          <w:sz w:val="24"/>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decorative"/>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tentative="0">
      <w:start w:val="1"/>
      <w:numFmt w:val="decimal"/>
      <w:pStyle w:val="9"/>
      <w:suff w:val="nothing"/>
      <w:lvlText w:val="%1　"/>
      <w:lvlJc w:val="left"/>
      <w:pPr>
        <w:ind w:left="180" w:firstLine="0"/>
      </w:pPr>
      <w:rPr>
        <w:rFonts w:hint="eastAsia" w:ascii="黑体" w:hAnsi="Times New Roman" w:eastAsia="黑体"/>
        <w:b w:val="0"/>
        <w:i w:val="0"/>
        <w:sz w:val="21"/>
        <w:szCs w:val="21"/>
      </w:rPr>
    </w:lvl>
    <w:lvl w:ilvl="1" w:tentative="0">
      <w:start w:val="1"/>
      <w:numFmt w:val="decimal"/>
      <w:pStyle w:val="13"/>
      <w:suff w:val="nothing"/>
      <w:lvlText w:val="%1.%2　"/>
      <w:lvlJc w:val="left"/>
      <w:pPr>
        <w:ind w:left="18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2"/>
      <w:suff w:val="nothing"/>
      <w:lvlText w:val="%1.%2.%3　"/>
      <w:lvlJc w:val="left"/>
      <w:pPr>
        <w:ind w:left="180" w:firstLine="0"/>
      </w:pPr>
      <w:rPr>
        <w:rFonts w:hint="eastAsia" w:ascii="黑体" w:hAnsi="Times New Roman" w:eastAsia="黑体"/>
        <w:b w:val="0"/>
        <w:i w:val="0"/>
        <w:sz w:val="21"/>
      </w:rPr>
    </w:lvl>
    <w:lvl w:ilvl="3" w:tentative="0">
      <w:start w:val="1"/>
      <w:numFmt w:val="decimal"/>
      <w:pStyle w:val="11"/>
      <w:suff w:val="nothing"/>
      <w:lvlText w:val="%1.%2.%3.%4　"/>
      <w:lvlJc w:val="left"/>
      <w:pPr>
        <w:ind w:left="180" w:firstLine="0"/>
      </w:pPr>
      <w:rPr>
        <w:rFonts w:hint="eastAsia" w:ascii="黑体" w:hAnsi="Times New Roman" w:eastAsia="黑体"/>
        <w:b w:val="0"/>
        <w:i w:val="0"/>
        <w:sz w:val="21"/>
      </w:rPr>
    </w:lvl>
    <w:lvl w:ilvl="4" w:tentative="0">
      <w:start w:val="1"/>
      <w:numFmt w:val="decimal"/>
      <w:pStyle w:val="10"/>
      <w:suff w:val="nothing"/>
      <w:lvlText w:val="%1.%2.%3.%4.%5　"/>
      <w:lvlJc w:val="left"/>
      <w:pPr>
        <w:ind w:left="180" w:firstLine="0"/>
      </w:pPr>
      <w:rPr>
        <w:rFonts w:hint="eastAsia" w:ascii="黑体" w:hAnsi="Times New Roman" w:eastAsia="黑体"/>
        <w:b w:val="0"/>
        <w:i w:val="0"/>
        <w:sz w:val="21"/>
      </w:rPr>
    </w:lvl>
    <w:lvl w:ilvl="5" w:tentative="0">
      <w:start w:val="1"/>
      <w:numFmt w:val="decimal"/>
      <w:pStyle w:val="15"/>
      <w:suff w:val="nothing"/>
      <w:lvlText w:val="%1.%2.%3.%4.%5.%6　"/>
      <w:lvlJc w:val="left"/>
      <w:pPr>
        <w:ind w:left="180" w:firstLine="0"/>
      </w:pPr>
      <w:rPr>
        <w:rFonts w:hint="eastAsia" w:ascii="黑体" w:hAnsi="Times New Roman" w:eastAsia="黑体"/>
        <w:b w:val="0"/>
        <w:i w:val="0"/>
        <w:sz w:val="21"/>
      </w:rPr>
    </w:lvl>
    <w:lvl w:ilvl="6" w:tentative="0">
      <w:start w:val="1"/>
      <w:numFmt w:val="decimal"/>
      <w:suff w:val="nothing"/>
      <w:lvlText w:val="%1%2.%3.%4.%5.%6.%7　"/>
      <w:lvlJc w:val="left"/>
      <w:pPr>
        <w:ind w:left="180" w:firstLine="0"/>
      </w:pPr>
      <w:rPr>
        <w:rFonts w:hint="eastAsia" w:ascii="黑体" w:hAnsi="Times New Roman" w:eastAsia="黑体"/>
        <w:b w:val="0"/>
        <w:i w:val="0"/>
        <w:sz w:val="21"/>
      </w:rPr>
    </w:lvl>
    <w:lvl w:ilvl="7" w:tentative="0">
      <w:start w:val="1"/>
      <w:numFmt w:val="decimal"/>
      <w:lvlText w:val="%1.%2.%3.%4.%5.%6.%7.%8"/>
      <w:lvlJc w:val="left"/>
      <w:pPr>
        <w:tabs>
          <w:tab w:val="left" w:pos="4531"/>
        </w:tabs>
        <w:ind w:left="4149" w:hanging="1418"/>
      </w:pPr>
      <w:rPr>
        <w:rFonts w:hint="eastAsia"/>
      </w:rPr>
    </w:lvl>
    <w:lvl w:ilvl="8" w:tentative="0">
      <w:start w:val="1"/>
      <w:numFmt w:val="decimal"/>
      <w:lvlText w:val="%1.%2.%3.%4.%5.%6.%7.%8.%9"/>
      <w:lvlJc w:val="left"/>
      <w:pPr>
        <w:tabs>
          <w:tab w:val="left" w:pos="4957"/>
        </w:tabs>
        <w:ind w:left="4857" w:hanging="1700"/>
      </w:pPr>
      <w:rPr>
        <w:rFonts w:hint="eastAsia"/>
      </w:rPr>
    </w:lvl>
  </w:abstractNum>
  <w:abstractNum w:abstractNumId="1">
    <w:nsid w:val="440543B0"/>
    <w:multiLevelType w:val="multilevel"/>
    <w:tmpl w:val="440543B0"/>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396"/>
    <w:rsid w:val="00003FA2"/>
    <w:rsid w:val="00012123"/>
    <w:rsid w:val="000264B4"/>
    <w:rsid w:val="000278DA"/>
    <w:rsid w:val="000C0C5B"/>
    <w:rsid w:val="001061C6"/>
    <w:rsid w:val="00111EBD"/>
    <w:rsid w:val="00127956"/>
    <w:rsid w:val="001E12D3"/>
    <w:rsid w:val="00260825"/>
    <w:rsid w:val="00281396"/>
    <w:rsid w:val="0030772F"/>
    <w:rsid w:val="00395E94"/>
    <w:rsid w:val="003A2C2C"/>
    <w:rsid w:val="003F5F27"/>
    <w:rsid w:val="00453A33"/>
    <w:rsid w:val="00477814"/>
    <w:rsid w:val="004E079B"/>
    <w:rsid w:val="004F73E9"/>
    <w:rsid w:val="0052388A"/>
    <w:rsid w:val="00527FD3"/>
    <w:rsid w:val="005A1568"/>
    <w:rsid w:val="00651C14"/>
    <w:rsid w:val="00677243"/>
    <w:rsid w:val="006B1B75"/>
    <w:rsid w:val="006E4C4D"/>
    <w:rsid w:val="006F0C0A"/>
    <w:rsid w:val="006F1D37"/>
    <w:rsid w:val="007149FF"/>
    <w:rsid w:val="007179EE"/>
    <w:rsid w:val="007320D5"/>
    <w:rsid w:val="00736744"/>
    <w:rsid w:val="007405F0"/>
    <w:rsid w:val="00743C05"/>
    <w:rsid w:val="0075287E"/>
    <w:rsid w:val="007C7FE3"/>
    <w:rsid w:val="00844E98"/>
    <w:rsid w:val="008B3C58"/>
    <w:rsid w:val="008C48D7"/>
    <w:rsid w:val="008C58F6"/>
    <w:rsid w:val="00942EC3"/>
    <w:rsid w:val="00995CE7"/>
    <w:rsid w:val="009A44E8"/>
    <w:rsid w:val="009D7F13"/>
    <w:rsid w:val="00A40010"/>
    <w:rsid w:val="00A60340"/>
    <w:rsid w:val="00A840ED"/>
    <w:rsid w:val="00AD6C57"/>
    <w:rsid w:val="00AE5A66"/>
    <w:rsid w:val="00AE7840"/>
    <w:rsid w:val="00B1459A"/>
    <w:rsid w:val="00B224B3"/>
    <w:rsid w:val="00BA1ADD"/>
    <w:rsid w:val="00BA5698"/>
    <w:rsid w:val="00BE35A8"/>
    <w:rsid w:val="00C0546F"/>
    <w:rsid w:val="00C22998"/>
    <w:rsid w:val="00C30E61"/>
    <w:rsid w:val="00C6090E"/>
    <w:rsid w:val="00CA130C"/>
    <w:rsid w:val="00CA381A"/>
    <w:rsid w:val="00CD0428"/>
    <w:rsid w:val="00CE5348"/>
    <w:rsid w:val="00D109C4"/>
    <w:rsid w:val="00D95165"/>
    <w:rsid w:val="00DB507B"/>
    <w:rsid w:val="00DB613D"/>
    <w:rsid w:val="00DE1C9D"/>
    <w:rsid w:val="00DE59FF"/>
    <w:rsid w:val="00E42A21"/>
    <w:rsid w:val="00E53BF1"/>
    <w:rsid w:val="00EB75E5"/>
    <w:rsid w:val="00F00A16"/>
    <w:rsid w:val="00F167F2"/>
    <w:rsid w:val="00F84453"/>
    <w:rsid w:val="00FD3007"/>
    <w:rsid w:val="06C44CF2"/>
    <w:rsid w:val="171570A4"/>
    <w:rsid w:val="24862DA0"/>
    <w:rsid w:val="2C931B4B"/>
    <w:rsid w:val="32D86F31"/>
    <w:rsid w:val="3CF439A3"/>
    <w:rsid w:val="55D00C70"/>
    <w:rsid w:val="63FD1D03"/>
    <w:rsid w:val="6BAA4DD6"/>
    <w:rsid w:val="72C74A1A"/>
    <w:rsid w:val="7CB963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alloon Text"/>
    <w:basedOn w:val="1"/>
    <w:link w:val="16"/>
    <w:qFormat/>
    <w:uiPriority w:val="0"/>
    <w:rPr>
      <w:sz w:val="18"/>
      <w:szCs w:val="18"/>
    </w:rPr>
  </w:style>
  <w:style w:type="paragraph" w:styleId="3">
    <w:name w:val="footer"/>
    <w:basedOn w:val="1"/>
    <w:link w:val="17"/>
    <w:uiPriority w:val="0"/>
    <w:pPr>
      <w:tabs>
        <w:tab w:val="center" w:pos="4153"/>
        <w:tab w:val="right" w:pos="8306"/>
      </w:tabs>
      <w:snapToGrid w:val="0"/>
      <w:jc w:val="left"/>
    </w:pPr>
    <w:rPr>
      <w:sz w:val="18"/>
      <w:szCs w:val="18"/>
    </w:rPr>
  </w:style>
  <w:style w:type="paragraph" w:styleId="4">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eastAsia="等线"/>
      <w:kern w:val="0"/>
      <w:sz w:val="24"/>
    </w:rPr>
  </w:style>
  <w:style w:type="character" w:styleId="7">
    <w:name w:val="Hyperlink"/>
    <w:uiPriority w:val="0"/>
    <w:rPr>
      <w:color w:val="0000FF"/>
      <w:u w:val="single"/>
    </w:rPr>
  </w:style>
  <w:style w:type="paragraph" w:customStyle="1" w:styleId="9">
    <w:name w:val="章标题"/>
    <w:next w:val="1"/>
    <w:uiPriority w:val="0"/>
    <w:pPr>
      <w:numPr>
        <w:ilvl w:val="0"/>
        <w:numId w:val="1"/>
      </w:numPr>
      <w:spacing w:before="312" w:beforeLines="100" w:after="312" w:afterLines="100"/>
      <w:jc w:val="both"/>
      <w:outlineLvl w:val="1"/>
    </w:pPr>
    <w:rPr>
      <w:rFonts w:ascii="黑体" w:hAnsi="Calibri" w:eastAsia="黑体" w:cs="Times New Roman"/>
      <w:sz w:val="21"/>
      <w:lang w:val="en-US" w:eastAsia="zh-CN" w:bidi="ar-SA"/>
    </w:rPr>
  </w:style>
  <w:style w:type="paragraph" w:customStyle="1" w:styleId="10">
    <w:name w:val="四级条标题"/>
    <w:basedOn w:val="11"/>
    <w:next w:val="1"/>
    <w:qFormat/>
    <w:uiPriority w:val="0"/>
    <w:pPr>
      <w:numPr>
        <w:ilvl w:val="4"/>
        <w:numId w:val="1"/>
      </w:numPr>
      <w:outlineLvl w:val="5"/>
    </w:pPr>
  </w:style>
  <w:style w:type="paragraph" w:customStyle="1" w:styleId="11">
    <w:name w:val="三级条标题"/>
    <w:basedOn w:val="12"/>
    <w:next w:val="1"/>
    <w:qFormat/>
    <w:uiPriority w:val="0"/>
    <w:pPr>
      <w:numPr>
        <w:ilvl w:val="3"/>
        <w:numId w:val="1"/>
      </w:numPr>
      <w:outlineLvl w:val="4"/>
    </w:pPr>
  </w:style>
  <w:style w:type="paragraph" w:customStyle="1" w:styleId="12">
    <w:name w:val="二级条标题"/>
    <w:basedOn w:val="13"/>
    <w:next w:val="1"/>
    <w:qFormat/>
    <w:uiPriority w:val="0"/>
    <w:pPr>
      <w:numPr>
        <w:ilvl w:val="2"/>
        <w:numId w:val="1"/>
      </w:numPr>
      <w:spacing w:before="50" w:after="50"/>
      <w:outlineLvl w:val="3"/>
    </w:pPr>
  </w:style>
  <w:style w:type="paragraph" w:customStyle="1" w:styleId="13">
    <w:name w:val="一级条标题"/>
    <w:next w:val="1"/>
    <w:qFormat/>
    <w:uiPriority w:val="0"/>
    <w:pPr>
      <w:numPr>
        <w:ilvl w:val="1"/>
        <w:numId w:val="1"/>
      </w:numPr>
      <w:spacing w:before="156" w:beforeLines="50" w:after="156" w:afterLines="50"/>
      <w:outlineLvl w:val="2"/>
    </w:pPr>
    <w:rPr>
      <w:rFonts w:ascii="黑体" w:hAnsi="Calibri" w:eastAsia="黑体" w:cs="Times New Roman"/>
      <w:sz w:val="21"/>
      <w:szCs w:val="21"/>
      <w:lang w:val="en-US" w:eastAsia="zh-CN" w:bidi="ar-SA"/>
    </w:rPr>
  </w:style>
  <w:style w:type="paragraph" w:customStyle="1" w:styleId="14">
    <w:name w:val="段"/>
    <w:link w:val="18"/>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customStyle="1" w:styleId="15">
    <w:name w:val="五级条标题"/>
    <w:basedOn w:val="10"/>
    <w:next w:val="1"/>
    <w:qFormat/>
    <w:uiPriority w:val="0"/>
    <w:pPr>
      <w:numPr>
        <w:ilvl w:val="5"/>
        <w:numId w:val="1"/>
      </w:numPr>
      <w:outlineLvl w:val="6"/>
    </w:pPr>
  </w:style>
  <w:style w:type="character" w:customStyle="1" w:styleId="16">
    <w:name w:val="批注框文本 Char"/>
    <w:link w:val="2"/>
    <w:qFormat/>
    <w:uiPriority w:val="0"/>
    <w:rPr>
      <w:kern w:val="2"/>
      <w:sz w:val="18"/>
      <w:szCs w:val="18"/>
    </w:rPr>
  </w:style>
  <w:style w:type="character" w:customStyle="1" w:styleId="17">
    <w:name w:val="页脚 Char"/>
    <w:link w:val="3"/>
    <w:uiPriority w:val="0"/>
    <w:rPr>
      <w:kern w:val="2"/>
      <w:sz w:val="18"/>
      <w:szCs w:val="18"/>
    </w:rPr>
  </w:style>
  <w:style w:type="character" w:customStyle="1" w:styleId="18">
    <w:name w:val="段 Char"/>
    <w:link w:val="14"/>
    <w:qFormat/>
    <w:uiPriority w:val="0"/>
    <w:rPr>
      <w:rFonts w:ascii="宋体" w:eastAsia="宋体"/>
      <w:sz w:val="21"/>
      <w:lang w:val="en-US" w:eastAsia="zh-CN" w:bidi="ar-SA"/>
    </w:rPr>
  </w:style>
  <w:style w:type="character" w:customStyle="1" w:styleId="19">
    <w:name w:val="页眉 Char"/>
    <w:link w:val="4"/>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455</Words>
  <Characters>2595</Characters>
  <Lines>21</Lines>
  <Paragraphs>6</Paragraphs>
  <TotalTime>0</TotalTime>
  <ScaleCrop>false</ScaleCrop>
  <LinksUpToDate>false</LinksUpToDate>
  <CharactersWithSpaces>3044</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2019-01-01T15:17:00Z</dcterms:created>
  <dc:creator>F.H.ZHOU</dc:creator>
  <cp:lastModifiedBy>guanqi</cp:lastModifiedBy>
  <dcterms:modified xsi:type="dcterms:W3CDTF">2020-03-19T03:20:58Z</dcterms:modified>
  <dc:title>行业标准《半导体集成电路冲压型引线框架》</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