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3"/>
        <w:framePr w:vAnchor="page" w:hAnchor="margin" w:y="796"/>
        <w:rPr>
          <w:color w:val="auto"/>
        </w:rPr>
      </w:pPr>
      <w:r>
        <w:rPr>
          <w:rFonts w:ascii="Times New Roman"/>
          <w:color w:val="auto"/>
        </w:rPr>
        <w:t>ICS</w:t>
      </w:r>
      <w:r>
        <w:rPr>
          <w:rFonts w:hAnsi="黑体"/>
          <w:color w:val="auto"/>
        </w:rPr>
        <w:t> </w:t>
      </w:r>
      <w:r>
        <w:rPr>
          <w:rFonts w:hint="eastAsia"/>
          <w:color w:val="auto"/>
        </w:rPr>
        <w:t>13.020.20</w:t>
      </w:r>
      <w:r>
        <w:rPr>
          <w:rFonts w:hint="eastAsia" w:hAnsi="黑体"/>
          <w:color w:val="auto"/>
        </w:rPr>
        <w:t>；</w:t>
      </w:r>
      <w:r>
        <w:rPr>
          <w:rFonts w:ascii="Times New Roman" w:eastAsia="宋体"/>
          <w:color w:val="auto"/>
          <w:kern w:val="2"/>
          <w:szCs w:val="24"/>
          <w:lang w:bidi="ar"/>
        </w:rPr>
        <w:fldChar w:fldCharType="begin">
          <w:ffData>
            <w:enabled/>
            <w:calcOnExit w:val="0"/>
            <w:helpText w:type="text" w:val="请输入正确的ICS号："/>
            <w:textInput>
              <w:default w:val="点击此处添加ICS号"/>
            </w:textInput>
          </w:ffData>
        </w:fldChar>
      </w:r>
      <w:bookmarkStart w:id="0" w:name="ICS"/>
      <w:r>
        <w:rPr>
          <w:rFonts w:ascii="Times New Roman" w:eastAsia="宋体"/>
          <w:color w:val="auto"/>
          <w:kern w:val="2"/>
          <w:szCs w:val="24"/>
          <w:lang w:bidi="ar"/>
        </w:rPr>
        <w:instrText xml:space="preserve"> FORMTEXT </w:instrText>
      </w:r>
      <w:r>
        <w:rPr>
          <w:rFonts w:ascii="Times New Roman" w:eastAsia="宋体"/>
          <w:color w:val="auto"/>
          <w:kern w:val="2"/>
          <w:szCs w:val="24"/>
          <w:lang w:bidi="ar"/>
        </w:rPr>
        <w:fldChar w:fldCharType="separate"/>
      </w:r>
      <w:r>
        <w:rPr>
          <w:rFonts w:ascii="Times New Roman" w:eastAsia="宋体"/>
          <w:color w:val="auto"/>
          <w:kern w:val="2"/>
          <w:szCs w:val="24"/>
          <w:lang w:bidi="ar"/>
        </w:rPr>
        <w:t>31.020</w:t>
      </w:r>
      <w:bookmarkEnd w:id="0"/>
      <w:r>
        <w:rPr>
          <w:rFonts w:ascii="Times New Roman" w:eastAsia="宋体"/>
          <w:color w:val="auto"/>
          <w:kern w:val="2"/>
          <w:szCs w:val="24"/>
          <w:lang w:bidi="ar"/>
        </w:rPr>
        <w:fldChar w:fldCharType="end"/>
      </w:r>
    </w:p>
    <w:p>
      <w:pPr>
        <w:pStyle w:val="103"/>
        <w:framePr w:vAnchor="page" w:hAnchor="margin" w:y="796"/>
        <w:rPr>
          <w:color w:val="auto"/>
        </w:rPr>
      </w:pPr>
      <w:r>
        <w:rPr>
          <w:rFonts w:hint="eastAsia"/>
          <w:color w:val="auto"/>
        </w:rPr>
        <w:t>L10</w:t>
      </w:r>
    </w:p>
    <w:tbl>
      <w:tblPr>
        <w:tblStyle w:val="41"/>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4" w:type="dxa"/>
            <w:tcBorders>
              <w:top w:val="nil"/>
              <w:left w:val="nil"/>
              <w:bottom w:val="nil"/>
              <w:right w:val="nil"/>
            </w:tcBorders>
            <w:vAlign w:val="top"/>
          </w:tcPr>
          <w:p>
            <w:pPr>
              <w:pStyle w:val="103"/>
              <w:keepNext w:val="0"/>
              <w:keepLines w:val="0"/>
              <w:framePr w:vAnchor="page" w:hAnchor="margin" w:y="796"/>
              <w:suppressLineNumbers w:val="0"/>
              <w:spacing w:before="0" w:beforeAutospacing="0" w:after="0" w:afterAutospacing="0"/>
              <w:ind w:left="0" w:right="0"/>
              <w:rPr>
                <w:rFonts w:hint="default" w:hAnsi="Calibri" w:cs="Calibri"/>
                <w:color w:val="auto"/>
              </w:rPr>
            </w:pPr>
            <w:r>
              <w:rPr>
                <w:rFonts w:hint="default" w:hAnsi="Calibri" w:cs="Calibri"/>
                <w:color w:val="auto"/>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2"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yK4v7NUAAAAHAQAADwAAAAAAAAABACAAAAAi&#10;AAAAZHJzL2Rvd25yZXYueG1sUEsBAhQAFAAAAAgAh07iQFYLmLCbAQAAIgMAAA4AAAAAAAAAAQAg&#10;AAAAJAEAAGRycy9lMm9Eb2MueG1sUEsFBgAAAAAGAAYAWQEAADEFAAAAAA==&#10;">
                      <v:fill on="t" focussize="0,0"/>
                      <v:stroke on="f"/>
                      <v:imagedata o:title=""/>
                      <o:lock v:ext="edit" aspectratio="f"/>
                    </v:rect>
                  </w:pict>
                </mc:Fallback>
              </mc:AlternateContent>
            </w:r>
          </w:p>
        </w:tc>
      </w:tr>
    </w:tbl>
    <w:p>
      <w:pPr>
        <w:pStyle w:val="137"/>
        <w:framePr w:w="9121" w:h="1206" w:hRule="exact" w:x="1762" w:y="1994"/>
        <w:ind w:right="817" w:rightChars="389" w:firstLine="420"/>
        <w:rPr>
          <w:color w:val="auto"/>
          <w:sz w:val="84"/>
          <w:szCs w:val="84"/>
        </w:rPr>
      </w:pPr>
      <w:r>
        <w:rPr>
          <w:rFonts w:hint="eastAsia"/>
          <w:color w:val="auto"/>
          <w:sz w:val="84"/>
          <w:szCs w:val="84"/>
        </w:rPr>
        <w:t>团体标准</w:t>
      </w:r>
    </w:p>
    <w:p>
      <w:pPr>
        <w:pStyle w:val="111"/>
        <w:framePr w:x="1694" w:y="3246"/>
        <w:rPr>
          <w:rFonts w:hint="eastAsia" w:hAnsi="黑体" w:eastAsia="华文新魏"/>
          <w:color w:val="auto"/>
        </w:rPr>
      </w:pPr>
      <w:r>
        <w:rPr>
          <w:rFonts w:ascii="Times New Roman" w:eastAsia="华文新魏"/>
          <w:color w:val="auto"/>
          <w:kern w:val="2"/>
          <w:lang w:bidi="ar"/>
        </w:rPr>
        <w:t xml:space="preserve">T/CESA </w:t>
      </w:r>
      <w:r>
        <w:rPr>
          <w:rFonts w:hint="eastAsia" w:ascii="Times New Roman" w:eastAsia="华文新魏"/>
          <w:color w:val="auto"/>
          <w:kern w:val="2"/>
          <w:lang w:bidi="ar"/>
        </w:rPr>
        <w:t>XXXX</w:t>
      </w:r>
      <w:r>
        <w:rPr>
          <w:rFonts w:ascii="Times New Roman" w:eastAsia="华文新魏"/>
          <w:color w:val="auto"/>
          <w:kern w:val="2"/>
          <w:lang w:bidi="ar"/>
        </w:rPr>
        <w:t>-201</w:t>
      </w:r>
      <w:r>
        <w:rPr>
          <w:rFonts w:hint="eastAsia" w:ascii="Times New Roman" w:eastAsia="华文新魏"/>
          <w:color w:val="auto"/>
          <w:kern w:val="2"/>
          <w:lang w:bidi="ar"/>
        </w:rPr>
        <w:t>X</w:t>
      </w:r>
    </w:p>
    <w:tbl>
      <w:tblPr>
        <w:tblStyle w:val="41"/>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vAlign w:val="top"/>
          </w:tcPr>
          <w:p>
            <w:pPr>
              <w:pStyle w:val="45"/>
              <w:keepNext w:val="0"/>
              <w:keepLines w:val="0"/>
              <w:framePr w:x="1694" w:y="3246"/>
              <w:widowControl/>
              <w:suppressLineNumbers w:val="0"/>
              <w:spacing w:beforeAutospacing="0" w:after="0" w:afterAutospacing="0"/>
              <w:ind w:left="0" w:right="0"/>
              <w:rPr>
                <w:rFonts w:hint="default" w:hAnsi="Calibri" w:cs="Calibri"/>
                <w:color w:val="auto"/>
              </w:rPr>
            </w:pPr>
            <w:r>
              <w:rPr>
                <w:rFonts w:hint="default" w:hAnsi="Calibri" w:cs="Calibri"/>
                <w:color w:val="auto"/>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wrap="square" upright="1"/>
                          </wps:wsp>
                        </a:graphicData>
                      </a:graphic>
                    </wp:anchor>
                  </w:drawing>
                </mc:Choice>
                <mc:Fallback>
                  <w:pict>
                    <v:rect id="DT" o:spid="_x0000_s1026" o:spt="1" style="position:absolute;left:0pt;margin-left:372.8pt;margin-top:2.7pt;height:18pt;width:90pt;z-index:-25165824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&#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">
                      <v:fill on="t" focussize="0,0"/>
                      <v:stroke on="f"/>
                      <v:imagedata o:title=""/>
                      <o:lock v:ext="edit" aspectratio="f"/>
                    </v:rect>
                  </w:pict>
                </mc:Fallback>
              </mc:AlternateContent>
            </w:r>
            <w:r>
              <w:rPr>
                <w:rFonts w:hint="default" w:hAnsi="Calibri" w:cs="Calibri"/>
                <w:color w:val="auto"/>
              </w:rPr>
              <w:fldChar w:fldCharType="begin">
                <w:ffData>
                  <w:name w:val="DT"/>
                  <w:enabled/>
                  <w:calcOnExit w:val="0"/>
                  <w:textInput/>
                </w:ffData>
              </w:fldChar>
            </w:r>
            <w:bookmarkStart w:id="1" w:name="DT"/>
            <w:r>
              <w:rPr>
                <w:rFonts w:hint="default" w:hAnsi="Calibri" w:cs="Calibri"/>
                <w:color w:val="auto"/>
              </w:rPr>
              <w:instrText xml:space="preserve"> FORMTEXT </w:instrText>
            </w:r>
            <w:r>
              <w:rPr>
                <w:rFonts w:hint="default" w:hAnsi="Calibri" w:cs="Calibri"/>
                <w:color w:val="auto"/>
              </w:rPr>
              <w:fldChar w:fldCharType="separate"/>
            </w:r>
            <w:r>
              <w:rPr>
                <w:rFonts w:hint="default" w:hAnsi="Calibri" w:cs="Calibri"/>
                <w:color w:val="auto"/>
              </w:rPr>
              <w:t>     </w:t>
            </w:r>
            <w:r>
              <w:rPr>
                <w:rFonts w:hint="default" w:hAnsi="Calibri" w:cs="Calibri"/>
                <w:color w:val="auto"/>
              </w:rPr>
              <w:fldChar w:fldCharType="end"/>
            </w:r>
            <w:bookmarkEnd w:id="1"/>
          </w:p>
        </w:tc>
      </w:tr>
    </w:tbl>
    <w:p>
      <w:pPr>
        <w:pStyle w:val="111"/>
        <w:framePr w:x="1694" w:y="3246"/>
        <w:rPr>
          <w:rFonts w:hAnsi="黑体"/>
          <w:color w:val="auto"/>
        </w:rPr>
      </w:pPr>
    </w:p>
    <w:p>
      <w:pPr>
        <w:pStyle w:val="111"/>
        <w:framePr w:x="1694" w:y="3246"/>
        <w:rPr>
          <w:rFonts w:hAnsi="黑体"/>
          <w:color w:val="auto"/>
        </w:rPr>
      </w:pPr>
    </w:p>
    <w:p>
      <w:pPr>
        <w:pStyle w:val="61"/>
        <w:framePr w:h="3246" w:hRule="exact"/>
        <w:rPr>
          <w:color w:val="auto"/>
        </w:rPr>
      </w:pPr>
      <w:r>
        <w:rPr>
          <w:color w:val="auto"/>
        </w:rPr>
        <w:fldChar w:fldCharType="begin">
          <w:ffData>
            <w:name w:val="StdName"/>
            <w:enabled/>
            <w:calcOnExit w:val="0"/>
            <w:textInput>
              <w:default w:val="点击此处添加标准名称"/>
            </w:textInput>
          </w:ffData>
        </w:fldChar>
      </w:r>
      <w:bookmarkStart w:id="2" w:name="StdName"/>
      <w:r>
        <w:rPr>
          <w:color w:val="auto"/>
        </w:rPr>
        <w:instrText xml:space="preserve"> FORMTEXT </w:instrText>
      </w:r>
      <w:r>
        <w:rPr>
          <w:color w:val="auto"/>
        </w:rPr>
        <w:fldChar w:fldCharType="separate"/>
      </w:r>
      <w:r>
        <w:rPr>
          <w:rFonts w:hint="eastAsia"/>
          <w:color w:val="auto"/>
        </w:rPr>
        <w:t>绿色设计产品评价技术规范 信息技术设备用不间断电源</w:t>
      </w:r>
      <w:r>
        <w:rPr>
          <w:color w:val="auto"/>
        </w:rPr>
        <w:fldChar w:fldCharType="end"/>
      </w:r>
      <w:bookmarkEnd w:id="2"/>
    </w:p>
    <w:p>
      <w:pPr>
        <w:pStyle w:val="60"/>
        <w:framePr w:h="3246" w:hRule="exact"/>
        <w:rPr>
          <w:color w:val="auto"/>
        </w:rPr>
      </w:pPr>
      <w:r>
        <w:rPr>
          <w:rFonts w:hint="eastAsia"/>
          <w:color w:val="auto"/>
        </w:rPr>
        <w:t xml:space="preserve">Technical  specification for green-design product assessment </w:t>
      </w:r>
      <w:r>
        <w:rPr>
          <w:color w:val="auto"/>
        </w:rPr>
        <w:t>–</w:t>
      </w:r>
      <w:r>
        <w:rPr>
          <w:rFonts w:hint="eastAsia"/>
          <w:color w:val="auto"/>
        </w:rPr>
        <w:t xml:space="preserve"> uninterruptible power supply for information technical equipment</w:t>
      </w:r>
      <w:r>
        <w:rPr>
          <w:color w:val="auto"/>
        </w:rPr>
        <w:t xml:space="preserve"> </w:t>
      </w:r>
    </w:p>
    <w:p>
      <w:pPr>
        <w:pStyle w:val="107"/>
        <w:framePr w:w="5413" w:vAnchor="page" w:hAnchor="page" w:x="1372" w:y="14107"/>
        <w:rPr>
          <w:color w:val="auto"/>
        </w:rPr>
      </w:pPr>
      <w:r>
        <w:rPr>
          <w:rFonts w:hint="eastAsia" w:ascii="黑体"/>
          <w:color w:val="auto"/>
        </w:rPr>
        <w:t>201X</w:t>
      </w:r>
      <w:r>
        <w:rPr>
          <w:color w:val="auto"/>
        </w:rPr>
        <w:t xml:space="preserve"> </w:t>
      </w:r>
      <w:r>
        <w:rPr>
          <w:rFonts w:ascii="黑体"/>
          <w:color w:val="auto"/>
        </w:rPr>
        <w:t>-</w:t>
      </w:r>
      <w:r>
        <w:rPr>
          <w:rFonts w:hint="eastAsia" w:ascii="黑体"/>
          <w:color w:val="auto"/>
        </w:rPr>
        <w:t>XX</w:t>
      </w:r>
      <w:r>
        <w:rPr>
          <w:color w:val="auto"/>
        </w:rPr>
        <w:t xml:space="preserve"> </w:t>
      </w:r>
      <w:r>
        <w:rPr>
          <w:rFonts w:ascii="黑体"/>
          <w:color w:val="auto"/>
        </w:rPr>
        <w:t>-</w:t>
      </w:r>
      <w:r>
        <w:rPr>
          <w:rFonts w:hint="eastAsia" w:ascii="黑体"/>
          <w:color w:val="auto"/>
        </w:rPr>
        <w:t>XX</w:t>
      </w:r>
      <w:r>
        <w:rPr>
          <w:rFonts w:hint="eastAsia"/>
          <w:color w:val="auto"/>
        </w:rPr>
        <w:t>发布</w:t>
      </w:r>
      <w:r>
        <w:rPr>
          <w:color w:val="auto"/>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6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62"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&#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WHazzWAAAACwEAAA8AAAAAAAAAAQAgAAAAIgAAAGRy&#10;cy9kb3ducmV2LnhtbFBLAQIUABQAAAAIAIdO4kCDDZzIzgEAAI8DAAAOAAAAAAAAAAEAIAAAACUB&#10;AABkcnMvZTJvRG9jLnhtbFBLBQYAAAAABgAGAFkBAABlBQAAAAA=&#10;">
                <v:fill on="f" focussize="0,0"/>
                <v:stroke color="#000000" joinstyle="round"/>
                <v:imagedata o:title=""/>
                <o:lock v:ext="edit" aspectratio="f"/>
                <w10:anchorlock/>
              </v:line>
            </w:pict>
          </mc:Fallback>
        </mc:AlternateContent>
      </w:r>
    </w:p>
    <w:p>
      <w:pPr>
        <w:pStyle w:val="56"/>
        <w:framePr w:x="2391" w:y="14874"/>
        <w:rPr>
          <w:color w:val="auto"/>
          <w:sz w:val="32"/>
          <w:szCs w:val="32"/>
        </w:rPr>
      </w:pPr>
      <w:r>
        <w:rPr>
          <w:rFonts w:hint="eastAsia"/>
          <w:color w:val="auto"/>
          <w:spacing w:val="0"/>
          <w:w w:val="100"/>
          <w:sz w:val="44"/>
          <w:szCs w:val="44"/>
        </w:rPr>
        <w:t>中国电子工业标准化技术协会</w:t>
      </w:r>
      <w:r>
        <w:rPr>
          <w:rFonts w:hAnsi="黑体"/>
          <w:color w:val="auto"/>
          <w:spacing w:val="0"/>
          <w:w w:val="100"/>
          <w:sz w:val="32"/>
          <w:szCs w:val="32"/>
        </w:rPr>
        <w:t> </w:t>
      </w:r>
      <w:r>
        <w:rPr>
          <w:rStyle w:val="153"/>
          <w:rFonts w:hint="eastAsia"/>
          <w:color w:val="auto"/>
          <w:sz w:val="32"/>
          <w:szCs w:val="32"/>
        </w:rPr>
        <w:t>发布</w:t>
      </w:r>
    </w:p>
    <w:p>
      <w:pPr>
        <w:pStyle w:val="93"/>
        <w:framePr w:vAnchor="page" w:hAnchor="page" w:x="7003" w:y="14135"/>
        <w:rPr>
          <w:color w:val="auto"/>
        </w:rPr>
      </w:pPr>
      <w:r>
        <w:rPr>
          <w:rFonts w:hint="eastAsia" w:ascii="黑体"/>
          <w:color w:val="auto"/>
        </w:rPr>
        <w:t>201X</w:t>
      </w:r>
      <w:r>
        <w:rPr>
          <w:color w:val="auto"/>
        </w:rPr>
        <w:t xml:space="preserve"> </w:t>
      </w:r>
      <w:r>
        <w:rPr>
          <w:rFonts w:ascii="黑体"/>
          <w:color w:val="auto"/>
        </w:rPr>
        <w:t>-</w:t>
      </w:r>
      <w:r>
        <w:rPr>
          <w:color w:val="auto"/>
        </w:rPr>
        <w:t xml:space="preserve"> </w:t>
      </w:r>
      <w:r>
        <w:rPr>
          <w:rFonts w:hint="eastAsia" w:ascii="黑体"/>
          <w:color w:val="auto"/>
        </w:rPr>
        <w:t>XX</w:t>
      </w:r>
      <w:r>
        <w:rPr>
          <w:color w:val="auto"/>
        </w:rPr>
        <w:t xml:space="preserve"> </w:t>
      </w:r>
      <w:r>
        <w:rPr>
          <w:rFonts w:ascii="黑体"/>
          <w:color w:val="auto"/>
        </w:rPr>
        <w:t>-</w:t>
      </w:r>
      <w:r>
        <w:rPr>
          <w:color w:val="auto"/>
        </w:rPr>
        <w:t xml:space="preserve"> </w:t>
      </w:r>
      <w:r>
        <w:rPr>
          <w:rFonts w:hint="eastAsia" w:ascii="黑体"/>
          <w:color w:val="auto"/>
        </w:rPr>
        <w:t>XX</w:t>
      </w:r>
      <w:r>
        <w:rPr>
          <w:rFonts w:hint="eastAsia"/>
          <w:color w:val="auto"/>
        </w:rPr>
        <w:t>实施</w:t>
      </w:r>
    </w:p>
    <w:p>
      <w:pPr>
        <w:pStyle w:val="25"/>
        <w:rPr>
          <w:color w:val="auto"/>
        </w:rPr>
        <w:sectPr>
          <w:headerReference r:id="rId4" w:type="first"/>
          <w:footerReference r:id="rId6" w:type="first"/>
          <w:headerReference r:id="rId3" w:type="even"/>
          <w:footerReference r:id="rId5" w:type="even"/>
          <w:pgSz w:w="11906" w:h="16838"/>
          <w:pgMar w:top="567" w:right="850" w:bottom="1134" w:left="1418" w:header="0" w:footer="0" w:gutter="0"/>
          <w:pgNumType w:fmt="upperRoman" w:start="1"/>
          <w:cols w:space="720" w:num="1"/>
          <w:docGrid w:type="lines" w:linePitch="312" w:charSpace="0"/>
        </w:sectPr>
      </w:pPr>
      <w:r>
        <w:rPr>
          <w:color w:val="auto"/>
        </w:rP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3" name="直线 16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63"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T2S4JM4BAACPAwAADgAAAAAAAAABACAAAAAm&#10;AQAAZHJzL2Uyb0RvYy54bWxQSwUGAAAAAAYABgBZAQAAZgUAAAAA&#10;">
                <v:fill on="f" focussize="0,0"/>
                <v:stroke color="#000000" joinstyle="round"/>
                <v:imagedata o:title=""/>
                <o:lock v:ext="edit" aspectratio="f"/>
              </v:line>
            </w:pict>
          </mc:Fallback>
        </mc:AlternateContent>
      </w:r>
    </w:p>
    <w:p>
      <w:pPr>
        <w:pStyle w:val="70"/>
        <w:rPr>
          <w:rFonts w:hint="eastAsia"/>
          <w:color w:val="auto"/>
        </w:rPr>
      </w:pPr>
      <w:bookmarkStart w:id="3" w:name="_Toc494317080"/>
      <w:bookmarkStart w:id="4" w:name="_Toc503801754"/>
      <w:r>
        <w:rPr>
          <w:rFonts w:hint="eastAsia"/>
          <w:color w:val="auto"/>
        </w:rPr>
        <w:t>目 次</w:t>
      </w:r>
      <w:bookmarkEnd w:id="3"/>
      <w:bookmarkEnd w:id="4"/>
    </w:p>
    <w:p>
      <w:pPr>
        <w:pStyle w:val="13"/>
        <w:ind w:firstLine="218" w:firstLineChars="104"/>
        <w:rPr>
          <w:color w:val="auto"/>
        </w:rPr>
      </w:pPr>
      <w:r>
        <w:rPr>
          <w:color w:val="auto"/>
        </w:rPr>
        <w:fldChar w:fldCharType="begin"/>
      </w:r>
      <w:r>
        <w:rPr>
          <w:color w:val="auto"/>
        </w:rPr>
        <w:instrText xml:space="preserve"> TOC \o "1-3" \h \z \u </w:instrText>
      </w:r>
      <w:r>
        <w:rPr>
          <w:color w:val="auto"/>
        </w:rPr>
        <w:fldChar w:fldCharType="separate"/>
      </w:r>
    </w:p>
    <w:p>
      <w:pPr>
        <w:rPr>
          <w:color w:val="auto"/>
        </w:rPr>
      </w:pPr>
      <w:r>
        <w:rPr>
          <w:b/>
          <w:bCs/>
          <w:color w:val="auto"/>
          <w:lang w:val="zh-CN"/>
        </w:rPr>
        <w:fldChar w:fldCharType="end"/>
      </w:r>
    </w:p>
    <w:p>
      <w:pPr>
        <w:pStyle w:val="25"/>
        <w:rPr>
          <w:color w:val="auto"/>
        </w:rPr>
        <w:sectPr>
          <w:headerReference r:id="rId9" w:type="first"/>
          <w:headerReference r:id="rId7" w:type="default"/>
          <w:footerReference r:id="rId10" w:type="default"/>
          <w:headerReference r:id="rId8" w:type="even"/>
          <w:pgSz w:w="11906" w:h="16838"/>
          <w:pgMar w:top="567" w:right="1134" w:bottom="1134" w:left="1418" w:header="1418" w:footer="1134" w:gutter="0"/>
          <w:pgNumType w:start="1"/>
          <w:cols w:space="720" w:num="1"/>
          <w:formProt w:val="0"/>
          <w:docGrid w:type="lines" w:linePitch="312" w:charSpace="0"/>
        </w:sectPr>
      </w:pPr>
    </w:p>
    <w:p>
      <w:pPr>
        <w:pStyle w:val="70"/>
        <w:rPr>
          <w:color w:val="auto"/>
        </w:rPr>
      </w:pPr>
      <w:bookmarkStart w:id="5" w:name="_Toc503801755"/>
      <w:r>
        <w:rPr>
          <w:rFonts w:hint="eastAsia"/>
          <w:color w:val="auto"/>
        </w:rPr>
        <w:t>前</w:t>
      </w:r>
      <w:bookmarkStart w:id="6" w:name="BKQY"/>
      <w:r>
        <w:rPr>
          <w:rFonts w:hAnsi="黑体"/>
          <w:color w:val="auto"/>
        </w:rPr>
        <w:t>  </w:t>
      </w:r>
      <w:r>
        <w:rPr>
          <w:rFonts w:hint="eastAsia"/>
          <w:color w:val="auto"/>
        </w:rPr>
        <w:t>言</w:t>
      </w:r>
      <w:bookmarkEnd w:id="5"/>
      <w:bookmarkEnd w:id="6"/>
    </w:p>
    <w:p>
      <w:pPr>
        <w:pStyle w:val="25"/>
        <w:spacing w:line="276" w:lineRule="auto"/>
        <w:rPr>
          <w:rFonts w:ascii="Times New Roman"/>
          <w:color w:val="auto"/>
          <w:szCs w:val="21"/>
        </w:rPr>
      </w:pPr>
      <w:r>
        <w:rPr>
          <w:rFonts w:ascii="Times New Roman"/>
          <w:color w:val="auto"/>
          <w:szCs w:val="21"/>
        </w:rPr>
        <w:t>本标准按GB/T 1.1-2009</w:t>
      </w:r>
      <w:r>
        <w:rPr>
          <w:rFonts w:hint="eastAsia" w:ascii="Times New Roman"/>
          <w:color w:val="auto"/>
          <w:szCs w:val="21"/>
        </w:rPr>
        <w:t>《标准化工作导则 第1部分：标准的结构和编写》</w:t>
      </w:r>
      <w:r>
        <w:rPr>
          <w:rFonts w:ascii="Times New Roman"/>
          <w:color w:val="auto"/>
          <w:szCs w:val="21"/>
        </w:rPr>
        <w:t>给出的规则编写。</w:t>
      </w:r>
    </w:p>
    <w:p>
      <w:pPr>
        <w:pStyle w:val="25"/>
        <w:spacing w:line="276" w:lineRule="auto"/>
        <w:rPr>
          <w:rFonts w:ascii="Times New Roman"/>
          <w:color w:val="auto"/>
          <w:szCs w:val="21"/>
        </w:rPr>
      </w:pPr>
      <w:r>
        <w:rPr>
          <w:rFonts w:ascii="Times New Roman"/>
          <w:color w:val="auto"/>
          <w:szCs w:val="21"/>
        </w:rPr>
        <w:t>本标准由工业和信息化部</w:t>
      </w:r>
      <w:r>
        <w:rPr>
          <w:rFonts w:hint="eastAsia" w:ascii="Times New Roman"/>
          <w:color w:val="auto"/>
          <w:szCs w:val="21"/>
        </w:rPr>
        <w:t>节</w:t>
      </w:r>
      <w:r>
        <w:rPr>
          <w:rFonts w:ascii="Times New Roman"/>
          <w:color w:val="auto"/>
          <w:szCs w:val="21"/>
        </w:rPr>
        <w:t>能与综合利用司提出。</w:t>
      </w:r>
    </w:p>
    <w:p>
      <w:pPr>
        <w:pStyle w:val="25"/>
        <w:spacing w:line="276" w:lineRule="auto"/>
        <w:rPr>
          <w:rFonts w:ascii="Times New Roman"/>
          <w:color w:val="auto"/>
          <w:szCs w:val="21"/>
        </w:rPr>
      </w:pPr>
      <w:r>
        <w:rPr>
          <w:rFonts w:ascii="Times New Roman"/>
          <w:color w:val="auto"/>
          <w:szCs w:val="21"/>
        </w:rPr>
        <w:t>本标准由中国电子技术标准化研究院归口。</w:t>
      </w:r>
    </w:p>
    <w:p>
      <w:pPr>
        <w:pStyle w:val="25"/>
        <w:spacing w:line="276" w:lineRule="auto"/>
        <w:rPr>
          <w:rFonts w:ascii="Times New Roman"/>
          <w:color w:val="auto"/>
          <w:szCs w:val="21"/>
        </w:rPr>
      </w:pPr>
      <w:r>
        <w:rPr>
          <w:rFonts w:ascii="Times New Roman"/>
          <w:color w:val="auto"/>
          <w:szCs w:val="21"/>
        </w:rPr>
        <w:t>本标准主要起草单位：</w:t>
      </w:r>
    </w:p>
    <w:p>
      <w:pPr>
        <w:pStyle w:val="25"/>
        <w:spacing w:line="276" w:lineRule="auto"/>
        <w:rPr>
          <w:rFonts w:ascii="Times New Roman"/>
          <w:color w:val="auto"/>
          <w:szCs w:val="21"/>
        </w:rPr>
      </w:pPr>
      <w:r>
        <w:rPr>
          <w:rFonts w:ascii="Times New Roman"/>
          <w:color w:val="auto"/>
          <w:szCs w:val="21"/>
        </w:rPr>
        <w:t>本标准主要起草人：</w:t>
      </w:r>
    </w:p>
    <w:p>
      <w:pPr>
        <w:pStyle w:val="25"/>
        <w:ind w:firstLine="0" w:firstLineChars="0"/>
        <w:rPr>
          <w:rFonts w:hint="eastAsia"/>
          <w:color w:val="auto"/>
        </w:rPr>
        <w:sectPr>
          <w:headerReference r:id="rId13" w:type="first"/>
          <w:headerReference r:id="rId11" w:type="default"/>
          <w:footerReference r:id="rId14" w:type="default"/>
          <w:headerReference r:id="rId12" w:type="even"/>
          <w:pgSz w:w="11906" w:h="16838"/>
          <w:pgMar w:top="567" w:right="1134" w:bottom="1134" w:left="1418" w:header="1418" w:footer="1134" w:gutter="0"/>
          <w:pgNumType w:fmt="upperRoman"/>
          <w:cols w:space="720" w:num="1"/>
          <w:formProt w:val="0"/>
          <w:docGrid w:type="lines" w:linePitch="312" w:charSpace="0"/>
        </w:sectPr>
      </w:pPr>
    </w:p>
    <w:p>
      <w:pPr>
        <w:pStyle w:val="71"/>
        <w:rPr>
          <w:rFonts w:hint="eastAsia"/>
          <w:color w:val="auto"/>
        </w:rPr>
      </w:pPr>
      <w:bookmarkStart w:id="7" w:name="StandardName"/>
      <w:bookmarkStart w:id="8" w:name="_Toc494317082"/>
      <w:bookmarkStart w:id="9" w:name="_Toc503801756"/>
      <w:bookmarkStart w:id="10" w:name="_Toc503513350"/>
      <w:r>
        <w:rPr>
          <w:rFonts w:hint="eastAsia"/>
          <w:color w:val="auto"/>
        </w:rPr>
        <w:t xml:space="preserve">绿色设计产品评价技术规范 </w:t>
      </w:r>
      <w:bookmarkEnd w:id="7"/>
      <w:bookmarkEnd w:id="8"/>
      <w:bookmarkEnd w:id="9"/>
      <w:bookmarkEnd w:id="10"/>
      <w:r>
        <w:rPr>
          <w:rFonts w:hint="eastAsia"/>
          <w:color w:val="auto"/>
        </w:rPr>
        <w:t>信息技术设备用不间断电源</w:t>
      </w:r>
    </w:p>
    <w:p>
      <w:pPr>
        <w:pStyle w:val="106"/>
        <w:spacing w:before="286" w:after="286"/>
        <w:ind w:left="0"/>
        <w:rPr>
          <w:color w:val="auto"/>
        </w:rPr>
      </w:pPr>
      <w:bookmarkStart w:id="11" w:name="_Toc503801757"/>
      <w:r>
        <w:rPr>
          <w:rFonts w:hint="eastAsia"/>
          <w:color w:val="auto"/>
        </w:rPr>
        <w:t>范围</w:t>
      </w:r>
      <w:bookmarkEnd w:id="11"/>
    </w:p>
    <w:p>
      <w:pPr>
        <w:pStyle w:val="25"/>
        <w:rPr>
          <w:color w:val="auto"/>
        </w:rPr>
      </w:pPr>
      <w:r>
        <w:rPr>
          <w:rFonts w:hint="eastAsia"/>
          <w:color w:val="auto"/>
        </w:rPr>
        <w:t>本标准规定了信息技术设备用不间断电源的绿色设计产品评价要求、评价方法，以及</w:t>
      </w:r>
      <w:r>
        <w:rPr>
          <w:rFonts w:hint="eastAsia"/>
          <w:color w:val="auto"/>
          <w:szCs w:val="22"/>
        </w:rPr>
        <w:t>产品生命周期评价报告</w:t>
      </w:r>
      <w:r>
        <w:rPr>
          <w:rFonts w:hint="eastAsia"/>
          <w:color w:val="auto"/>
        </w:rPr>
        <w:t>编制方法。</w:t>
      </w:r>
    </w:p>
    <w:p>
      <w:pPr>
        <w:pStyle w:val="25"/>
        <w:rPr>
          <w:rFonts w:hint="eastAsia"/>
          <w:color w:val="auto"/>
        </w:rPr>
      </w:pPr>
      <w:r>
        <w:rPr>
          <w:rFonts w:hint="eastAsia"/>
          <w:color w:val="auto"/>
        </w:rPr>
        <w:t>本标准适用于</w:t>
      </w:r>
      <w:r>
        <w:rPr>
          <w:color w:val="auto"/>
          <w:szCs w:val="22"/>
        </w:rPr>
        <w:t>用</w:t>
      </w:r>
      <w:r>
        <w:rPr>
          <w:rFonts w:hint="eastAsia"/>
          <w:color w:val="auto"/>
        </w:rPr>
        <w:t>信息技术设备用不间断电源，其它领域使用的不间断电源亦可参考此本标准。</w:t>
      </w:r>
    </w:p>
    <w:p>
      <w:pPr>
        <w:pStyle w:val="106"/>
        <w:spacing w:before="286" w:after="286"/>
        <w:ind w:left="0"/>
        <w:rPr>
          <w:color w:val="auto"/>
        </w:rPr>
      </w:pPr>
      <w:bookmarkStart w:id="12" w:name="_Toc503801758"/>
      <w:r>
        <w:rPr>
          <w:rFonts w:hint="eastAsia"/>
          <w:color w:val="auto"/>
        </w:rPr>
        <w:t>规范性引用文件</w:t>
      </w:r>
      <w:bookmarkEnd w:id="12"/>
    </w:p>
    <w:p>
      <w:pPr>
        <w:pStyle w:val="25"/>
        <w:rPr>
          <w:rFonts w:hint="eastAsia"/>
          <w:color w:val="auto"/>
        </w:rPr>
      </w:pPr>
      <w:r>
        <w:rPr>
          <w:rFonts w:hint="eastAsia"/>
          <w:color w:val="auto"/>
        </w:rPr>
        <w:t>下列文件对于本文件的应用是必不可少的。凡是注日期的引用文件，仅注日期的版本适用于本文件。凡是不注日期的引用文件，其最新版本（包括所有的修改单）适用于本文件。</w:t>
      </w:r>
    </w:p>
    <w:p>
      <w:pPr>
        <w:pStyle w:val="25"/>
        <w:spacing w:line="276" w:lineRule="auto"/>
        <w:rPr>
          <w:rFonts w:hint="eastAsia" w:hAnsi="宋体"/>
          <w:color w:val="auto"/>
          <w:szCs w:val="21"/>
        </w:rPr>
      </w:pPr>
      <w:r>
        <w:rPr>
          <w:rFonts w:hint="eastAsia"/>
          <w:color w:val="auto"/>
        </w:rPr>
        <w:t>GB/T 14715 信息技术设备用不间断电源通用规范</w:t>
      </w:r>
    </w:p>
    <w:p>
      <w:pPr>
        <w:pStyle w:val="25"/>
        <w:spacing w:line="276" w:lineRule="auto"/>
        <w:rPr>
          <w:rFonts w:hint="eastAsia" w:hAnsi="宋体"/>
          <w:color w:val="auto"/>
          <w:szCs w:val="21"/>
        </w:rPr>
      </w:pPr>
      <w:r>
        <w:rPr>
          <w:rFonts w:hint="eastAsia"/>
          <w:color w:val="auto"/>
        </w:rPr>
        <w:t>GB/T 16716.1 包装与包装废弃物 第1部分：处理和利用通则</w:t>
      </w:r>
    </w:p>
    <w:p>
      <w:pPr>
        <w:pStyle w:val="25"/>
        <w:spacing w:line="276" w:lineRule="auto"/>
        <w:rPr>
          <w:rFonts w:hint="eastAsia" w:hAnsi="宋体"/>
          <w:color w:val="auto"/>
          <w:szCs w:val="21"/>
        </w:rPr>
      </w:pPr>
      <w:r>
        <w:rPr>
          <w:rFonts w:hint="eastAsia" w:hAnsi="宋体"/>
          <w:color w:val="auto"/>
          <w:szCs w:val="21"/>
        </w:rPr>
        <w:t xml:space="preserve">GB/T 16288 </w:t>
      </w:r>
      <w:r>
        <w:rPr>
          <w:rFonts w:hAnsi="宋体"/>
          <w:color w:val="auto"/>
          <w:szCs w:val="21"/>
        </w:rPr>
        <w:t>塑料制品的标志</w:t>
      </w:r>
    </w:p>
    <w:p>
      <w:pPr>
        <w:pStyle w:val="25"/>
        <w:rPr>
          <w:color w:val="auto"/>
        </w:rPr>
      </w:pPr>
      <w:r>
        <w:rPr>
          <w:rFonts w:hint="eastAsia"/>
          <w:color w:val="auto"/>
        </w:rPr>
        <w:t>GB/T 19001 质量管理体系 要求</w:t>
      </w:r>
    </w:p>
    <w:p>
      <w:pPr>
        <w:pStyle w:val="25"/>
        <w:spacing w:line="276" w:lineRule="auto"/>
        <w:rPr>
          <w:rFonts w:hAnsi="宋体"/>
          <w:color w:val="auto"/>
          <w:szCs w:val="21"/>
        </w:rPr>
      </w:pPr>
      <w:r>
        <w:rPr>
          <w:rFonts w:hint="eastAsia" w:hAnsi="宋体"/>
          <w:color w:val="auto"/>
          <w:szCs w:val="21"/>
        </w:rPr>
        <w:t xml:space="preserve">GB/T 18455 </w:t>
      </w:r>
      <w:r>
        <w:rPr>
          <w:rFonts w:hAnsi="宋体"/>
          <w:color w:val="auto"/>
          <w:szCs w:val="21"/>
        </w:rPr>
        <w:t>包装回收标志</w:t>
      </w:r>
    </w:p>
    <w:p>
      <w:pPr>
        <w:pStyle w:val="25"/>
        <w:spacing w:line="276" w:lineRule="auto"/>
        <w:rPr>
          <w:rFonts w:hAnsi="宋体"/>
          <w:color w:val="auto"/>
          <w:szCs w:val="21"/>
        </w:rPr>
      </w:pPr>
      <w:r>
        <w:rPr>
          <w:rFonts w:hint="eastAsia"/>
          <w:color w:val="auto"/>
        </w:rPr>
        <w:t>GB/T 24001 环境管理体系 要求及使用指南</w:t>
      </w:r>
    </w:p>
    <w:p>
      <w:pPr>
        <w:pStyle w:val="25"/>
        <w:spacing w:line="276" w:lineRule="auto"/>
        <w:rPr>
          <w:rFonts w:hAnsi="宋体"/>
          <w:color w:val="auto"/>
          <w:szCs w:val="21"/>
        </w:rPr>
      </w:pPr>
      <w:r>
        <w:rPr>
          <w:rFonts w:hint="eastAsia" w:hAnsi="宋体"/>
          <w:color w:val="auto"/>
          <w:szCs w:val="21"/>
        </w:rPr>
        <w:t xml:space="preserve">GB/T </w:t>
      </w:r>
      <w:r>
        <w:rPr>
          <w:rFonts w:hAnsi="宋体"/>
          <w:color w:val="auto"/>
          <w:szCs w:val="21"/>
        </w:rPr>
        <w:t>24040</w:t>
      </w:r>
      <w:r>
        <w:rPr>
          <w:rFonts w:hint="eastAsia" w:hAnsi="宋体"/>
          <w:color w:val="auto"/>
          <w:szCs w:val="21"/>
        </w:rPr>
        <w:t xml:space="preserve"> </w:t>
      </w:r>
      <w:r>
        <w:rPr>
          <w:rFonts w:hAnsi="宋体"/>
          <w:color w:val="auto"/>
          <w:szCs w:val="21"/>
        </w:rPr>
        <w:t>环境管理 生命周期评价 原则与框架 </w:t>
      </w:r>
    </w:p>
    <w:p>
      <w:pPr>
        <w:pStyle w:val="25"/>
        <w:spacing w:line="276" w:lineRule="auto"/>
        <w:rPr>
          <w:rFonts w:hAnsi="宋体"/>
          <w:color w:val="auto"/>
          <w:szCs w:val="21"/>
        </w:rPr>
      </w:pPr>
      <w:r>
        <w:rPr>
          <w:rFonts w:hint="eastAsia" w:hAnsi="宋体"/>
          <w:color w:val="auto"/>
          <w:szCs w:val="21"/>
        </w:rPr>
        <w:t xml:space="preserve">GB/T </w:t>
      </w:r>
      <w:r>
        <w:rPr>
          <w:rFonts w:hAnsi="宋体"/>
          <w:color w:val="auto"/>
          <w:szCs w:val="21"/>
        </w:rPr>
        <w:t>24044</w:t>
      </w:r>
      <w:r>
        <w:rPr>
          <w:rFonts w:hint="eastAsia" w:hAnsi="宋体"/>
          <w:color w:val="auto"/>
          <w:szCs w:val="21"/>
        </w:rPr>
        <w:t xml:space="preserve"> </w:t>
      </w:r>
      <w:r>
        <w:rPr>
          <w:rFonts w:hAnsi="宋体"/>
          <w:color w:val="auto"/>
          <w:szCs w:val="21"/>
        </w:rPr>
        <w:t>环境管理生命周期评价要求与指南</w:t>
      </w:r>
    </w:p>
    <w:p>
      <w:pPr>
        <w:pStyle w:val="25"/>
        <w:rPr>
          <w:rFonts w:hint="eastAsia" w:hAnsi="宋体"/>
          <w:color w:val="auto"/>
          <w:szCs w:val="21"/>
        </w:rPr>
      </w:pPr>
      <w:r>
        <w:rPr>
          <w:rFonts w:hint="eastAsia"/>
          <w:color w:val="auto"/>
        </w:rPr>
        <w:t>GB/T 24256 产品生态设计通则</w:t>
      </w:r>
    </w:p>
    <w:p>
      <w:pPr>
        <w:pStyle w:val="25"/>
        <w:spacing w:line="276" w:lineRule="auto"/>
        <w:rPr>
          <w:rFonts w:hint="eastAsia" w:hAnsi="宋体"/>
          <w:color w:val="auto"/>
          <w:szCs w:val="21"/>
        </w:rPr>
      </w:pPr>
      <w:r>
        <w:rPr>
          <w:rFonts w:hint="eastAsia" w:hAnsi="宋体"/>
          <w:color w:val="auto"/>
          <w:szCs w:val="21"/>
        </w:rPr>
        <w:t>GB/T 26125 电子电气产品 六种限用物质(铅、汞、镉、六价铬、多溴联苯和多溴二苯醚)的测定</w:t>
      </w:r>
    </w:p>
    <w:p>
      <w:pPr>
        <w:pStyle w:val="25"/>
        <w:spacing w:line="276" w:lineRule="auto"/>
        <w:rPr>
          <w:rFonts w:hAnsi="宋体"/>
          <w:color w:val="auto"/>
          <w:szCs w:val="21"/>
        </w:rPr>
      </w:pPr>
      <w:r>
        <w:rPr>
          <w:rFonts w:hint="eastAsia" w:hAnsi="宋体"/>
          <w:color w:val="auto"/>
          <w:szCs w:val="21"/>
        </w:rPr>
        <w:t xml:space="preserve">GB/T 26572 电子电气产品中限用物质的限量要求 </w:t>
      </w:r>
    </w:p>
    <w:p>
      <w:pPr>
        <w:pStyle w:val="25"/>
        <w:spacing w:line="276" w:lineRule="auto"/>
        <w:rPr>
          <w:rFonts w:hAnsi="宋体"/>
          <w:color w:val="auto"/>
          <w:szCs w:val="21"/>
        </w:rPr>
      </w:pPr>
      <w:r>
        <w:rPr>
          <w:rFonts w:hAnsi="宋体"/>
          <w:color w:val="auto"/>
          <w:szCs w:val="21"/>
        </w:rPr>
        <w:t>GB/T 29786</w:t>
      </w:r>
      <w:r>
        <w:rPr>
          <w:rFonts w:hint="eastAsia" w:hAnsi="宋体"/>
          <w:color w:val="auto"/>
          <w:szCs w:val="21"/>
        </w:rPr>
        <w:t xml:space="preserve"> </w:t>
      </w:r>
      <w:r>
        <w:rPr>
          <w:rFonts w:hAnsi="宋体"/>
          <w:color w:val="auto"/>
          <w:szCs w:val="21"/>
        </w:rPr>
        <w:t>电子电气产品中邻苯二甲酸酯的测定气相色谱-质谱联用法</w:t>
      </w:r>
    </w:p>
    <w:p>
      <w:pPr>
        <w:pStyle w:val="25"/>
        <w:spacing w:line="276" w:lineRule="auto"/>
        <w:rPr>
          <w:rFonts w:hint="eastAsia" w:hAnsi="宋体"/>
          <w:color w:val="auto"/>
          <w:szCs w:val="21"/>
        </w:rPr>
      </w:pPr>
      <w:r>
        <w:rPr>
          <w:rFonts w:hint="eastAsia" w:hAnsi="宋体"/>
          <w:color w:val="auto"/>
          <w:szCs w:val="21"/>
        </w:rPr>
        <w:t xml:space="preserve">GB/T 32161 </w:t>
      </w:r>
      <w:r>
        <w:rPr>
          <w:rFonts w:hAnsi="宋体"/>
          <w:color w:val="auto"/>
          <w:szCs w:val="21"/>
        </w:rPr>
        <w:t>生态设计产品评价通则</w:t>
      </w:r>
    </w:p>
    <w:p>
      <w:pPr>
        <w:pStyle w:val="25"/>
        <w:spacing w:line="276" w:lineRule="auto"/>
        <w:rPr>
          <w:rFonts w:hint="eastAsia" w:hAnsi="宋体"/>
          <w:color w:val="auto"/>
          <w:szCs w:val="21"/>
        </w:rPr>
      </w:pPr>
      <w:r>
        <w:rPr>
          <w:rFonts w:hAnsi="宋体"/>
          <w:color w:val="auto"/>
          <w:szCs w:val="21"/>
        </w:rPr>
        <w:t>GB/T 32883</w:t>
      </w:r>
      <w:r>
        <w:rPr>
          <w:rFonts w:hint="eastAsia" w:hAnsi="宋体"/>
          <w:color w:val="auto"/>
          <w:szCs w:val="21"/>
        </w:rPr>
        <w:t xml:space="preserve"> </w:t>
      </w:r>
      <w:r>
        <w:rPr>
          <w:rFonts w:hAnsi="宋体"/>
          <w:color w:val="auto"/>
          <w:szCs w:val="21"/>
        </w:rPr>
        <w:t>电子电气产品中六溴环十二烷的测定高效液相色谱-质谱法</w:t>
      </w:r>
    </w:p>
    <w:p>
      <w:pPr>
        <w:pStyle w:val="25"/>
        <w:spacing w:line="276" w:lineRule="auto"/>
        <w:rPr>
          <w:rFonts w:hAnsi="宋体"/>
          <w:color w:val="auto"/>
          <w:szCs w:val="21"/>
        </w:rPr>
      </w:pPr>
      <w:r>
        <w:rPr>
          <w:rFonts w:hint="eastAsia" w:hAnsi="宋体"/>
          <w:color w:val="auto"/>
          <w:szCs w:val="21"/>
        </w:rPr>
        <w:t xml:space="preserve">GB/T 33345 </w:t>
      </w:r>
      <w:r>
        <w:rPr>
          <w:rFonts w:hAnsi="宋体"/>
          <w:color w:val="auto"/>
          <w:szCs w:val="21"/>
        </w:rPr>
        <w:t>电子电气产品中短链氯化石蜡的测定气相色谱-质谱法</w:t>
      </w:r>
    </w:p>
    <w:p>
      <w:pPr>
        <w:pStyle w:val="25"/>
        <w:spacing w:line="276" w:lineRule="auto"/>
        <w:rPr>
          <w:rFonts w:hint="eastAsia" w:hAnsi="宋体"/>
          <w:color w:val="auto"/>
          <w:szCs w:val="21"/>
        </w:rPr>
      </w:pPr>
      <w:r>
        <w:rPr>
          <w:rFonts w:hint="eastAsia" w:hAnsi="宋体"/>
          <w:color w:val="auto"/>
          <w:szCs w:val="21"/>
        </w:rPr>
        <w:t xml:space="preserve">SJ/T 11364 </w:t>
      </w:r>
      <w:r>
        <w:rPr>
          <w:rFonts w:hAnsi="宋体"/>
          <w:color w:val="auto"/>
          <w:szCs w:val="21"/>
        </w:rPr>
        <w:t>电子电气产品有害物质限制使用标识要求</w:t>
      </w:r>
    </w:p>
    <w:p>
      <w:pPr>
        <w:pStyle w:val="25"/>
        <w:spacing w:line="276" w:lineRule="auto"/>
        <w:rPr>
          <w:rFonts w:hint="eastAsia" w:hAnsi="宋体"/>
          <w:color w:val="auto"/>
          <w:szCs w:val="21"/>
        </w:rPr>
      </w:pPr>
      <w:r>
        <w:rPr>
          <w:rFonts w:hint="eastAsia" w:hAnsi="宋体"/>
          <w:color w:val="auto"/>
          <w:szCs w:val="21"/>
        </w:rPr>
        <w:t>IEC 62321 电工电气产品中某些物质的测定（Determination of certain substances in electrotechnical products）</w:t>
      </w:r>
    </w:p>
    <w:p>
      <w:pPr>
        <w:pStyle w:val="25"/>
        <w:spacing w:after="168" w:line="276" w:lineRule="auto"/>
        <w:rPr>
          <w:rFonts w:hint="eastAsia" w:hAnsi="宋体"/>
          <w:color w:val="auto"/>
          <w:szCs w:val="21"/>
        </w:rPr>
      </w:pPr>
      <w:r>
        <w:rPr>
          <w:rFonts w:hint="eastAsia" w:hAnsi="宋体"/>
          <w:color w:val="auto"/>
          <w:szCs w:val="21"/>
        </w:rPr>
        <w:t>IEC 62321-8 电子电气产品中某些物质的测定 第8部分：使用气相色谱质谱联用仪(GC-MS)，配有热裂解热脱附的气相色谱质谱联用仪 (Py-TD-GC-MS)测定聚合物中的邻苯二甲酸酯（Determination of certain substances in electrotechnical products - Part 8: Phthalates in polymers by gas chromatography-mass spectrometry (GC-MS), gas chromatography-mass spectrometry using a pyrolyzer/thermal desorption accessory (Py-TD-GC-MS)）</w:t>
      </w:r>
    </w:p>
    <w:p>
      <w:pPr>
        <w:pStyle w:val="106"/>
        <w:spacing w:before="286" w:after="286"/>
        <w:ind w:left="0"/>
        <w:rPr>
          <w:rFonts w:hint="eastAsia"/>
          <w:color w:val="auto"/>
        </w:rPr>
      </w:pPr>
      <w:bookmarkStart w:id="13" w:name="_Toc503801759"/>
      <w:r>
        <w:rPr>
          <w:rFonts w:hint="eastAsia"/>
          <w:color w:val="auto"/>
        </w:rPr>
        <w:t>术语</w:t>
      </w:r>
      <w:r>
        <w:rPr>
          <w:color w:val="auto"/>
        </w:rPr>
        <w:t>和定义</w:t>
      </w:r>
      <w:bookmarkEnd w:id="13"/>
    </w:p>
    <w:p>
      <w:pPr>
        <w:pStyle w:val="25"/>
        <w:spacing w:line="276" w:lineRule="auto"/>
        <w:rPr>
          <w:color w:val="auto"/>
          <w:szCs w:val="21"/>
        </w:rPr>
      </w:pPr>
      <w:r>
        <w:rPr>
          <w:rFonts w:hint="eastAsia"/>
          <w:color w:val="auto"/>
        </w:rPr>
        <w:t>GB/T 14715、</w:t>
      </w:r>
      <w:r>
        <w:rPr>
          <w:rFonts w:hint="eastAsia" w:hAnsi="宋体" w:cs="宋体"/>
          <w:color w:val="auto"/>
          <w:szCs w:val="21"/>
        </w:rPr>
        <w:t>GB/T 32161中界定的以及下列术语和定义适用于本文件。</w:t>
      </w:r>
    </w:p>
    <w:p>
      <w:pPr>
        <w:pStyle w:val="49"/>
        <w:spacing w:before="143" w:after="143"/>
        <w:rPr>
          <w:rFonts w:hint="eastAsia"/>
          <w:color w:val="auto"/>
        </w:rPr>
      </w:pPr>
      <w:bookmarkStart w:id="14" w:name="_Toc503801760"/>
      <w:bookmarkEnd w:id="14"/>
      <w:bookmarkStart w:id="15" w:name="_Toc494317086"/>
      <w:bookmarkEnd w:id="15"/>
      <w:bookmarkStart w:id="16" w:name="_Toc503513354"/>
      <w:bookmarkEnd w:id="16"/>
      <w:bookmarkStart w:id="17" w:name="_Toc362613508"/>
      <w:bookmarkStart w:id="18" w:name="_Toc362612430"/>
      <w:bookmarkStart w:id="19" w:name="_Toc351045743"/>
      <w:bookmarkStart w:id="20" w:name="_Toc351046064"/>
      <w:bookmarkStart w:id="21" w:name="_Toc351037894"/>
    </w:p>
    <w:p>
      <w:pPr>
        <w:pStyle w:val="49"/>
        <w:numPr>
          <w:ilvl w:val="0"/>
          <w:numId w:val="0"/>
        </w:numPr>
        <w:spacing w:before="143" w:after="143"/>
        <w:ind w:left="424" w:leftChars="202"/>
        <w:rPr>
          <w:color w:val="auto"/>
        </w:rPr>
      </w:pPr>
      <w:bookmarkStart w:id="22" w:name="_Toc502827395"/>
      <w:bookmarkStart w:id="23" w:name="_Toc503513358"/>
      <w:bookmarkStart w:id="24" w:name="_Toc503801761"/>
      <w:bookmarkStart w:id="25" w:name="_Toc502849150"/>
      <w:bookmarkStart w:id="26" w:name="_Toc502827394"/>
      <w:bookmarkStart w:id="27" w:name="_Toc494317087"/>
      <w:r>
        <w:rPr>
          <w:rFonts w:hint="eastAsia"/>
          <w:color w:val="auto"/>
        </w:rPr>
        <w:t>绿色设计 green-design</w:t>
      </w:r>
      <w:bookmarkEnd w:id="22"/>
      <w:bookmarkEnd w:id="23"/>
      <w:bookmarkEnd w:id="24"/>
      <w:bookmarkEnd w:id="25"/>
    </w:p>
    <w:p>
      <w:pPr>
        <w:pStyle w:val="49"/>
        <w:numPr>
          <w:ilvl w:val="0"/>
          <w:numId w:val="0"/>
        </w:numPr>
        <w:spacing w:before="143" w:after="143"/>
        <w:ind w:left="424" w:leftChars="202"/>
        <w:rPr>
          <w:color w:val="auto"/>
        </w:rPr>
      </w:pPr>
      <w:bookmarkStart w:id="28" w:name="_Toc503801762"/>
      <w:bookmarkStart w:id="29" w:name="_Toc502849151"/>
      <w:bookmarkStart w:id="30" w:name="_Toc503513359"/>
      <w:r>
        <w:rPr>
          <w:color w:val="auto"/>
        </w:rPr>
        <w:t>生态设计 eco-design</w:t>
      </w:r>
      <w:bookmarkEnd w:id="26"/>
      <w:bookmarkEnd w:id="28"/>
      <w:bookmarkEnd w:id="29"/>
      <w:bookmarkEnd w:id="30"/>
    </w:p>
    <w:p>
      <w:pPr>
        <w:pStyle w:val="49"/>
        <w:numPr>
          <w:ilvl w:val="0"/>
          <w:numId w:val="0"/>
        </w:numPr>
        <w:spacing w:beforeLines="0" w:afterLines="0" w:line="360" w:lineRule="auto"/>
        <w:ind w:firstLine="420" w:firstLineChars="200"/>
        <w:rPr>
          <w:rFonts w:hint="eastAsia" w:ascii="宋体" w:hAnsi="宋体" w:eastAsia="宋体"/>
          <w:color w:val="auto"/>
        </w:rPr>
      </w:pPr>
      <w:bookmarkStart w:id="31" w:name="_Toc503513360"/>
      <w:bookmarkStart w:id="32" w:name="_Toc503801763"/>
      <w:r>
        <w:rPr>
          <w:rFonts w:hint="eastAsia" w:ascii="宋体" w:hAnsi="宋体" w:eastAsia="宋体"/>
          <w:color w:val="auto"/>
        </w:rPr>
        <w:t>按照全生命周期的理念，在产品设计开发阶段系统考虑原材料获取、生产制造、包装运输、使用维护和回收处理等各个环节对资源环境造成的影响，力求产品在全生命周期中最大限度降低资源消耗、尽可能少用或不用含有有害物质的原材料，减少污染物产生和排放，从而实现环境保护的活动。</w:t>
      </w:r>
      <w:bookmarkEnd w:id="31"/>
      <w:bookmarkEnd w:id="32"/>
    </w:p>
    <w:p>
      <w:pPr>
        <w:pStyle w:val="138"/>
        <w:rPr>
          <w:rFonts w:hint="eastAsia"/>
          <w:color w:val="auto"/>
        </w:rPr>
      </w:pPr>
      <w:r>
        <w:rPr>
          <w:rFonts w:hint="eastAsia"/>
          <w:color w:val="auto"/>
        </w:rPr>
        <w:t>绿色设计也称生态设计、环境意识设计。</w:t>
      </w:r>
    </w:p>
    <w:p>
      <w:pPr>
        <w:pStyle w:val="138"/>
        <w:rPr>
          <w:rFonts w:hint="eastAsia"/>
          <w:color w:val="auto"/>
        </w:rPr>
      </w:pPr>
      <w:r>
        <w:rPr>
          <w:rFonts w:hint="eastAsia"/>
          <w:color w:val="auto"/>
        </w:rPr>
        <w:t>改写GB/T 32161-2015，定义3.2。</w:t>
      </w:r>
    </w:p>
    <w:p>
      <w:pPr>
        <w:pStyle w:val="49"/>
        <w:spacing w:before="143" w:after="143"/>
        <w:rPr>
          <w:rFonts w:hint="eastAsia"/>
          <w:color w:val="auto"/>
        </w:rPr>
      </w:pPr>
      <w:bookmarkStart w:id="33" w:name="_Toc503513361"/>
      <w:bookmarkEnd w:id="33"/>
      <w:bookmarkStart w:id="34" w:name="_Toc503801764"/>
      <w:bookmarkEnd w:id="34"/>
    </w:p>
    <w:p>
      <w:pPr>
        <w:pStyle w:val="49"/>
        <w:numPr>
          <w:ilvl w:val="0"/>
          <w:numId w:val="0"/>
        </w:numPr>
        <w:spacing w:before="143" w:after="143"/>
        <w:ind w:left="424" w:leftChars="202"/>
        <w:rPr>
          <w:rFonts w:hint="eastAsia"/>
          <w:color w:val="auto"/>
        </w:rPr>
      </w:pPr>
      <w:bookmarkStart w:id="35" w:name="_Toc502827396"/>
      <w:bookmarkEnd w:id="35"/>
      <w:bookmarkStart w:id="36" w:name="_Toc502849152"/>
      <w:bookmarkEnd w:id="36"/>
      <w:bookmarkStart w:id="37" w:name="_Toc503801765"/>
      <w:bookmarkStart w:id="38" w:name="_Toc503513362"/>
      <w:bookmarkStart w:id="39" w:name="_Toc502827398"/>
      <w:bookmarkStart w:id="40" w:name="_Toc502849153"/>
      <w:bookmarkStart w:id="41" w:name="_Toc502827397"/>
      <w:r>
        <w:rPr>
          <w:rFonts w:hint="eastAsia"/>
          <w:color w:val="auto"/>
        </w:rPr>
        <w:t>绿色设计产品 green-design products</w:t>
      </w:r>
      <w:bookmarkEnd w:id="37"/>
      <w:bookmarkEnd w:id="38"/>
      <w:bookmarkEnd w:id="39"/>
      <w:bookmarkEnd w:id="40"/>
    </w:p>
    <w:p>
      <w:pPr>
        <w:pStyle w:val="49"/>
        <w:numPr>
          <w:ilvl w:val="0"/>
          <w:numId w:val="0"/>
        </w:numPr>
        <w:spacing w:before="143" w:after="143"/>
        <w:ind w:left="424" w:leftChars="201" w:hanging="2"/>
        <w:rPr>
          <w:color w:val="auto"/>
        </w:rPr>
      </w:pPr>
      <w:bookmarkStart w:id="42" w:name="_Toc503801766"/>
      <w:bookmarkStart w:id="43" w:name="_Toc502849154"/>
      <w:bookmarkStart w:id="44" w:name="_Toc503513363"/>
      <w:r>
        <w:rPr>
          <w:rFonts w:hint="eastAsia"/>
          <w:color w:val="auto"/>
        </w:rPr>
        <w:t>生态设计产品</w:t>
      </w:r>
      <w:r>
        <w:rPr>
          <w:color w:val="auto"/>
        </w:rPr>
        <w:t>eco-design products</w:t>
      </w:r>
      <w:bookmarkEnd w:id="41"/>
      <w:bookmarkEnd w:id="42"/>
      <w:bookmarkEnd w:id="43"/>
      <w:bookmarkEnd w:id="44"/>
    </w:p>
    <w:p>
      <w:pPr>
        <w:pStyle w:val="25"/>
        <w:rPr>
          <w:color w:val="auto"/>
        </w:rPr>
      </w:pPr>
      <w:r>
        <w:rPr>
          <w:rFonts w:hint="eastAsia"/>
          <w:color w:val="auto"/>
        </w:rPr>
        <w:t>符合绿色（生态）设计理念和评价要求的产品。</w:t>
      </w:r>
    </w:p>
    <w:p>
      <w:pPr>
        <w:pStyle w:val="25"/>
        <w:rPr>
          <w:rFonts w:hint="eastAsia"/>
          <w:color w:val="auto"/>
        </w:rPr>
      </w:pPr>
      <w:r>
        <w:rPr>
          <w:rFonts w:hint="eastAsia"/>
          <w:color w:val="auto"/>
        </w:rPr>
        <w:t>[GB/T 32161-2015，定义3.3]</w:t>
      </w:r>
      <w:bookmarkStart w:id="45" w:name="_Toc502827399"/>
      <w:bookmarkEnd w:id="45"/>
    </w:p>
    <w:p>
      <w:pPr>
        <w:pStyle w:val="49"/>
        <w:spacing w:before="143" w:after="143"/>
        <w:rPr>
          <w:rFonts w:hint="eastAsia"/>
          <w:color w:val="auto"/>
        </w:rPr>
      </w:pPr>
      <w:bookmarkStart w:id="46" w:name="_Toc503801767"/>
      <w:bookmarkEnd w:id="46"/>
      <w:bookmarkStart w:id="47" w:name="_Toc503513364"/>
      <w:bookmarkEnd w:id="47"/>
    </w:p>
    <w:p>
      <w:pPr>
        <w:pStyle w:val="49"/>
        <w:numPr>
          <w:ilvl w:val="0"/>
          <w:numId w:val="0"/>
        </w:numPr>
        <w:spacing w:before="143" w:after="143"/>
        <w:ind w:left="424" w:leftChars="202"/>
        <w:rPr>
          <w:rFonts w:hint="eastAsia"/>
          <w:color w:val="auto"/>
        </w:rPr>
      </w:pPr>
      <w:bookmarkStart w:id="48" w:name="_Toc503801768"/>
      <w:bookmarkStart w:id="49" w:name="_Toc503513365"/>
      <w:r>
        <w:rPr>
          <w:rFonts w:hint="eastAsia"/>
          <w:color w:val="auto"/>
        </w:rPr>
        <w:t>均质材料 homogeneous materials</w:t>
      </w:r>
      <w:bookmarkEnd w:id="48"/>
    </w:p>
    <w:p>
      <w:pPr>
        <w:pStyle w:val="49"/>
        <w:numPr>
          <w:ilvl w:val="0"/>
          <w:numId w:val="0"/>
        </w:numPr>
        <w:spacing w:before="143" w:beforeLines="0" w:after="143" w:afterLines="0" w:line="360" w:lineRule="auto"/>
        <w:ind w:firstLine="420" w:firstLineChars="200"/>
        <w:rPr>
          <w:rFonts w:hint="eastAsia" w:ascii="宋体" w:hAnsi="宋体" w:eastAsia="宋体"/>
          <w:color w:val="auto"/>
        </w:rPr>
      </w:pPr>
      <w:bookmarkStart w:id="50" w:name="_Toc503801769"/>
      <w:r>
        <w:rPr>
          <w:rFonts w:hint="eastAsia" w:ascii="宋体" w:hAnsi="宋体" w:eastAsia="宋体"/>
          <w:color w:val="auto"/>
        </w:rPr>
        <w:t>由一种或多种物质组成的各部分均匀一致的材料。</w:t>
      </w:r>
      <w:bookmarkEnd w:id="50"/>
    </w:p>
    <w:p>
      <w:pPr>
        <w:pStyle w:val="25"/>
        <w:rPr>
          <w:color w:val="auto"/>
          <w:szCs w:val="22"/>
        </w:rPr>
      </w:pPr>
      <w:r>
        <w:rPr>
          <w:color w:val="auto"/>
          <w:szCs w:val="22"/>
        </w:rPr>
        <w:t>[SJ/T 11468</w:t>
      </w:r>
      <w:r>
        <w:rPr>
          <w:rFonts w:hint="eastAsia"/>
          <w:color w:val="auto"/>
          <w:szCs w:val="22"/>
        </w:rPr>
        <w:t>，定义</w:t>
      </w:r>
      <w:r>
        <w:rPr>
          <w:color w:val="auto"/>
          <w:szCs w:val="22"/>
        </w:rPr>
        <w:t>2.5.6]</w:t>
      </w:r>
    </w:p>
    <w:p>
      <w:pPr>
        <w:pStyle w:val="49"/>
        <w:spacing w:before="143" w:after="143"/>
        <w:rPr>
          <w:rFonts w:hint="eastAsia"/>
          <w:color w:val="auto"/>
        </w:rPr>
      </w:pPr>
      <w:bookmarkStart w:id="51" w:name="_Toc503801770"/>
      <w:bookmarkEnd w:id="51"/>
    </w:p>
    <w:p>
      <w:pPr>
        <w:pStyle w:val="49"/>
        <w:numPr>
          <w:ilvl w:val="0"/>
          <w:numId w:val="0"/>
        </w:numPr>
        <w:spacing w:before="143" w:after="143"/>
        <w:ind w:left="424" w:leftChars="202"/>
        <w:rPr>
          <w:rFonts w:hint="eastAsia"/>
          <w:color w:val="auto"/>
        </w:rPr>
      </w:pPr>
      <w:bookmarkStart w:id="52" w:name="_Toc503801771"/>
      <w:r>
        <w:rPr>
          <w:rFonts w:hint="eastAsia"/>
          <w:color w:val="auto"/>
        </w:rPr>
        <w:t>限用物质应用例外</w:t>
      </w:r>
      <w:r>
        <w:rPr>
          <w:color w:val="auto"/>
        </w:rPr>
        <w:t xml:space="preserve">  restricted substance </w:t>
      </w:r>
      <w:r>
        <w:rPr>
          <w:rFonts w:hint="eastAsia"/>
          <w:color w:val="auto"/>
        </w:rPr>
        <w:t>exception</w:t>
      </w:r>
      <w:bookmarkEnd w:id="27"/>
      <w:bookmarkEnd w:id="49"/>
      <w:bookmarkEnd w:id="52"/>
    </w:p>
    <w:p>
      <w:pPr>
        <w:pStyle w:val="49"/>
        <w:numPr>
          <w:ilvl w:val="0"/>
          <w:numId w:val="0"/>
        </w:numPr>
        <w:spacing w:before="143" w:beforeLines="0" w:after="143" w:afterLines="0" w:line="360" w:lineRule="auto"/>
        <w:ind w:firstLine="420" w:firstLineChars="200"/>
        <w:rPr>
          <w:rFonts w:hint="eastAsia" w:ascii="宋体" w:hAnsi="宋体" w:eastAsia="宋体"/>
          <w:color w:val="auto"/>
        </w:rPr>
      </w:pPr>
      <w:bookmarkStart w:id="53" w:name="_Toc503513366"/>
      <w:bookmarkStart w:id="54" w:name="_Toc503801772"/>
      <w:bookmarkStart w:id="55" w:name="_Toc351037895"/>
      <w:bookmarkStart w:id="56" w:name="_Toc494317088"/>
      <w:r>
        <w:rPr>
          <w:rFonts w:hint="eastAsia" w:ascii="宋体" w:hAnsi="宋体" w:eastAsia="宋体"/>
          <w:color w:val="auto"/>
        </w:rPr>
        <w:t>由于技术性或经济性等因素的局限，对于电子电气产品中含有的某些限用物质，在某一时期内，法律法规不规定其限量要求</w:t>
      </w:r>
      <w:r>
        <w:rPr>
          <w:rFonts w:ascii="宋体" w:hAnsi="宋体" w:eastAsia="宋体"/>
          <w:color w:val="auto"/>
        </w:rPr>
        <w:t>或放宽其限量要求</w:t>
      </w:r>
      <w:r>
        <w:rPr>
          <w:rFonts w:hint="eastAsia" w:ascii="宋体" w:hAnsi="宋体" w:eastAsia="宋体"/>
          <w:color w:val="auto"/>
        </w:rPr>
        <w:t>的技术应用。</w:t>
      </w:r>
      <w:bookmarkEnd w:id="53"/>
      <w:bookmarkEnd w:id="54"/>
      <w:bookmarkEnd w:id="55"/>
      <w:bookmarkEnd w:id="56"/>
    </w:p>
    <w:p>
      <w:pPr>
        <w:pStyle w:val="49"/>
        <w:numPr>
          <w:ilvl w:val="0"/>
          <w:numId w:val="0"/>
        </w:numPr>
        <w:spacing w:beforeLines="0" w:afterLines="0" w:line="360" w:lineRule="auto"/>
        <w:ind w:firstLine="283" w:firstLineChars="135"/>
        <w:rPr>
          <w:rFonts w:hint="eastAsia"/>
          <w:color w:val="auto"/>
        </w:rPr>
      </w:pPr>
      <w:bookmarkStart w:id="57" w:name="_Toc503513367"/>
      <w:bookmarkStart w:id="58" w:name="_Toc503801773"/>
      <w:bookmarkStart w:id="59" w:name="_Toc494317089"/>
      <w:r>
        <w:rPr>
          <w:rFonts w:hint="eastAsia" w:ascii="宋体" w:hAnsi="宋体" w:eastAsia="宋体"/>
          <w:color w:val="auto"/>
        </w:rPr>
        <w:t>[SJ/T 11468-2014，定义 2.2.10]</w:t>
      </w:r>
      <w:bookmarkEnd w:id="57"/>
      <w:bookmarkEnd w:id="58"/>
      <w:bookmarkEnd w:id="59"/>
      <w:bookmarkStart w:id="60" w:name="_Toc296329472"/>
      <w:bookmarkEnd w:id="60"/>
    </w:p>
    <w:bookmarkEnd w:id="17"/>
    <w:bookmarkEnd w:id="18"/>
    <w:bookmarkEnd w:id="19"/>
    <w:bookmarkEnd w:id="20"/>
    <w:bookmarkEnd w:id="21"/>
    <w:p>
      <w:pPr>
        <w:pStyle w:val="106"/>
        <w:spacing w:before="286" w:after="286"/>
        <w:ind w:left="0"/>
        <w:rPr>
          <w:rFonts w:hint="eastAsia"/>
          <w:color w:val="auto"/>
          <w:szCs w:val="22"/>
        </w:rPr>
      </w:pPr>
      <w:bookmarkStart w:id="61" w:name="_Toc503513357"/>
      <w:bookmarkEnd w:id="61"/>
      <w:bookmarkStart w:id="62" w:name="_Toc503513355"/>
      <w:bookmarkEnd w:id="62"/>
      <w:bookmarkStart w:id="63" w:name="_Toc503513356"/>
      <w:bookmarkEnd w:id="63"/>
      <w:bookmarkStart w:id="64" w:name="_Toc503801774"/>
      <w:r>
        <w:rPr>
          <w:rFonts w:hint="eastAsia"/>
          <w:color w:val="auto"/>
          <w:szCs w:val="22"/>
        </w:rPr>
        <w:t>评价方法</w:t>
      </w:r>
      <w:bookmarkEnd w:id="64"/>
    </w:p>
    <w:p>
      <w:pPr>
        <w:pStyle w:val="25"/>
        <w:spacing w:line="360" w:lineRule="auto"/>
        <w:rPr>
          <w:color w:val="auto"/>
        </w:rPr>
      </w:pPr>
      <w:r>
        <w:rPr>
          <w:rFonts w:hint="eastAsia"/>
          <w:color w:val="auto"/>
        </w:rPr>
        <w:t>按照第5章开展自我评价或第三方评价，同时满足以下条件的产品为绿色设计产品：</w:t>
      </w:r>
    </w:p>
    <w:p>
      <w:pPr>
        <w:pStyle w:val="101"/>
        <w:spacing w:line="360" w:lineRule="auto"/>
        <w:rPr>
          <w:color w:val="auto"/>
        </w:rPr>
      </w:pPr>
      <w:r>
        <w:rPr>
          <w:rFonts w:hint="eastAsia"/>
          <w:color w:val="auto"/>
        </w:rPr>
        <w:t>满足基本要求（见5.1）和产品评价指标要求（见5.2），并提供相关符合性证明文件；</w:t>
      </w:r>
    </w:p>
    <w:p>
      <w:pPr>
        <w:pStyle w:val="101"/>
        <w:spacing w:line="360" w:lineRule="auto"/>
        <w:rPr>
          <w:rFonts w:hint="eastAsia"/>
          <w:color w:val="auto"/>
        </w:rPr>
      </w:pPr>
      <w:r>
        <w:rPr>
          <w:rFonts w:hint="eastAsia"/>
          <w:color w:val="auto"/>
          <w:szCs w:val="22"/>
        </w:rPr>
        <w:t>开展产品生命周期评价，并按第6章的方法提供产品生命周期评价报告。</w:t>
      </w:r>
    </w:p>
    <w:p>
      <w:pPr>
        <w:pStyle w:val="25"/>
        <w:rPr>
          <w:color w:val="auto"/>
        </w:rPr>
      </w:pPr>
      <w:bookmarkStart w:id="65" w:name="_Toc503801775"/>
      <w:r>
        <w:rPr>
          <w:rFonts w:hint="eastAsia"/>
          <w:color w:val="auto"/>
        </w:rPr>
        <w:t>绿色设计产品评价结果应形成报告,对基本要求和评价指标要求的符合性情况进行说明，并附生命周期评价报告。</w:t>
      </w:r>
    </w:p>
    <w:p>
      <w:pPr>
        <w:pStyle w:val="106"/>
        <w:spacing w:before="286" w:after="286"/>
        <w:ind w:left="0"/>
        <w:rPr>
          <w:rFonts w:hint="eastAsia"/>
          <w:color w:val="auto"/>
          <w:szCs w:val="22"/>
        </w:rPr>
      </w:pPr>
      <w:r>
        <w:rPr>
          <w:rFonts w:hint="eastAsia"/>
          <w:color w:val="auto"/>
          <w:szCs w:val="22"/>
        </w:rPr>
        <w:t>评价要求</w:t>
      </w:r>
      <w:bookmarkEnd w:id="65"/>
    </w:p>
    <w:p>
      <w:pPr>
        <w:pStyle w:val="49"/>
        <w:spacing w:before="143" w:after="143"/>
        <w:rPr>
          <w:rFonts w:hint="eastAsia"/>
          <w:color w:val="auto"/>
        </w:rPr>
      </w:pPr>
      <w:bookmarkStart w:id="66" w:name="_Toc503801776"/>
      <w:r>
        <w:rPr>
          <w:rFonts w:hint="eastAsia"/>
          <w:color w:val="auto"/>
        </w:rPr>
        <w:t>基本要求</w:t>
      </w:r>
      <w:bookmarkEnd w:id="66"/>
    </w:p>
    <w:p>
      <w:pPr>
        <w:pStyle w:val="48"/>
        <w:spacing w:before="143" w:after="143"/>
        <w:rPr>
          <w:rFonts w:hint="eastAsia"/>
          <w:color w:val="auto"/>
        </w:rPr>
      </w:pPr>
      <w:r>
        <w:rPr>
          <w:rFonts w:hint="eastAsia"/>
          <w:color w:val="auto"/>
        </w:rPr>
        <w:t>对企业的基本要求</w:t>
      </w:r>
    </w:p>
    <w:p>
      <w:pPr>
        <w:pStyle w:val="25"/>
        <w:rPr>
          <w:rFonts w:hint="eastAsia"/>
          <w:color w:val="auto"/>
        </w:rPr>
      </w:pPr>
      <w:r>
        <w:rPr>
          <w:rFonts w:hint="eastAsia"/>
          <w:color w:val="auto"/>
        </w:rPr>
        <w:t>企业应满足以下要求，包括但不限于：</w:t>
      </w:r>
    </w:p>
    <w:p>
      <w:pPr>
        <w:pStyle w:val="25"/>
        <w:rPr>
          <w:rFonts w:hint="eastAsia"/>
          <w:color w:val="auto"/>
          <w:szCs w:val="22"/>
        </w:rPr>
      </w:pPr>
      <w:r>
        <w:rPr>
          <w:rFonts w:hint="eastAsia"/>
          <w:color w:val="auto"/>
        </w:rPr>
        <w:t>a)  企业的污染物排放应达到国家或地方污染物排放标准的要求，污染物总量控制应达到国家和地方污染物排</w:t>
      </w:r>
      <w:r>
        <w:rPr>
          <w:rFonts w:hint="eastAsia"/>
          <w:color w:val="auto"/>
          <w:szCs w:val="22"/>
        </w:rPr>
        <w:t>放总量控制指标；应严格执行节能环保相关国家标准，近三年无重大质量、 安全和环境事故；</w:t>
      </w:r>
    </w:p>
    <w:p>
      <w:pPr>
        <w:pStyle w:val="25"/>
        <w:rPr>
          <w:rFonts w:hint="eastAsia"/>
          <w:color w:val="auto"/>
          <w:szCs w:val="22"/>
        </w:rPr>
      </w:pPr>
      <w:r>
        <w:rPr>
          <w:rFonts w:hint="eastAsia"/>
          <w:color w:val="auto"/>
          <w:szCs w:val="22"/>
        </w:rPr>
        <w:t>b)  企业应按照GB/T 19001和GB/T 24001等的要求建立、实施、保持并持续改进质量管理和环境管理等体系，并将绿色设计过程引入管理体系；</w:t>
      </w:r>
    </w:p>
    <w:p>
      <w:pPr>
        <w:pStyle w:val="25"/>
        <w:rPr>
          <w:rFonts w:hint="eastAsia"/>
          <w:color w:val="auto"/>
        </w:rPr>
      </w:pPr>
      <w:r>
        <w:rPr>
          <w:rFonts w:hint="eastAsia"/>
          <w:color w:val="auto"/>
          <w:szCs w:val="22"/>
        </w:rPr>
        <w:t>c)  企业应</w:t>
      </w:r>
      <w:r>
        <w:rPr>
          <w:rFonts w:hint="eastAsia"/>
          <w:color w:val="auto"/>
        </w:rPr>
        <w:t>采用清洁生产的技术、工艺和装备，不得使用国家或有关部门发布的淘汰或禁止的技术、工艺和装备；</w:t>
      </w:r>
    </w:p>
    <w:p>
      <w:pPr>
        <w:pStyle w:val="25"/>
        <w:rPr>
          <w:rFonts w:hint="eastAsia"/>
          <w:color w:val="auto"/>
        </w:rPr>
      </w:pPr>
      <w:r>
        <w:rPr>
          <w:rFonts w:hint="eastAsia"/>
          <w:color w:val="auto"/>
        </w:rPr>
        <w:t>d)  企业应开展绿色供应链管理，将绿色环保相关的法律法规要求和客户要求引入供应商管理的过程中，并向产品主要原材料供应方、生产协作方、相关服务方等提出有关质量、环境、能源和安全等方面的管理要求；</w:t>
      </w:r>
    </w:p>
    <w:p>
      <w:pPr>
        <w:pStyle w:val="25"/>
        <w:rPr>
          <w:rFonts w:hint="eastAsia"/>
          <w:color w:val="auto"/>
        </w:rPr>
      </w:pPr>
      <w:r>
        <w:rPr>
          <w:rFonts w:hint="eastAsia"/>
          <w:color w:val="auto"/>
        </w:rPr>
        <w:t>e)  企业应自行建立或委托有资质的第三方建立废弃产品的回收体系，并按照国家关于废弃电器电子产品管理的要求履行生产者的责任和义务。</w:t>
      </w:r>
    </w:p>
    <w:p>
      <w:pPr>
        <w:pStyle w:val="48"/>
        <w:spacing w:before="143" w:after="143"/>
        <w:rPr>
          <w:rFonts w:hint="eastAsia"/>
          <w:color w:val="auto"/>
          <w:szCs w:val="22"/>
        </w:rPr>
      </w:pPr>
      <w:r>
        <w:rPr>
          <w:rFonts w:hint="eastAsia"/>
          <w:color w:val="auto"/>
          <w:szCs w:val="22"/>
        </w:rPr>
        <w:t>产品基本要求</w:t>
      </w:r>
    </w:p>
    <w:p>
      <w:pPr>
        <w:pStyle w:val="25"/>
        <w:rPr>
          <w:rFonts w:hint="eastAsia"/>
          <w:color w:val="auto"/>
        </w:rPr>
      </w:pPr>
      <w:r>
        <w:rPr>
          <w:rFonts w:hint="eastAsia"/>
          <w:color w:val="auto"/>
        </w:rPr>
        <w:t>产品应满足GB/T 14715规定的技术要求。</w:t>
      </w:r>
    </w:p>
    <w:p>
      <w:pPr>
        <w:pStyle w:val="48"/>
        <w:spacing w:before="143" w:after="143"/>
        <w:rPr>
          <w:rFonts w:hint="eastAsia"/>
          <w:color w:val="auto"/>
          <w:szCs w:val="22"/>
        </w:rPr>
      </w:pPr>
      <w:r>
        <w:rPr>
          <w:rFonts w:hint="eastAsia"/>
          <w:color w:val="auto"/>
          <w:szCs w:val="22"/>
        </w:rPr>
        <w:t>信息公开</w:t>
      </w:r>
    </w:p>
    <w:p>
      <w:pPr>
        <w:pStyle w:val="25"/>
        <w:spacing w:line="360" w:lineRule="auto"/>
        <w:rPr>
          <w:rFonts w:hint="eastAsia"/>
          <w:color w:val="auto"/>
        </w:rPr>
      </w:pPr>
      <w:r>
        <w:rPr>
          <w:rFonts w:hint="eastAsia"/>
          <w:color w:val="auto"/>
        </w:rPr>
        <w:t xml:space="preserve">企业应采用公开可获得的方式，通过系统预装的用户手册、官方网站或产品说明等，向用户或相关方公开以下信息，包括但不限于： </w:t>
      </w:r>
    </w:p>
    <w:p>
      <w:pPr>
        <w:pStyle w:val="25"/>
        <w:numPr>
          <w:ilvl w:val="0"/>
          <w:numId w:val="17"/>
        </w:numPr>
        <w:tabs>
          <w:tab w:val="clear" w:pos="4201"/>
          <w:tab w:val="clear" w:pos="9298"/>
        </w:tabs>
        <w:spacing w:line="360" w:lineRule="auto"/>
        <w:ind w:firstLineChars="0"/>
        <w:rPr>
          <w:rFonts w:hint="eastAsia"/>
          <w:color w:val="auto"/>
        </w:rPr>
      </w:pPr>
      <w:r>
        <w:rPr>
          <w:rFonts w:hint="eastAsia"/>
          <w:color w:val="auto"/>
        </w:rPr>
        <w:t>产品最大负载提示，以及负载及后备时间对应关系说明；</w:t>
      </w:r>
    </w:p>
    <w:p>
      <w:pPr>
        <w:pStyle w:val="25"/>
        <w:numPr>
          <w:ilvl w:val="0"/>
          <w:numId w:val="17"/>
        </w:numPr>
        <w:tabs>
          <w:tab w:val="clear" w:pos="4201"/>
          <w:tab w:val="clear" w:pos="9298"/>
        </w:tabs>
        <w:spacing w:line="360" w:lineRule="auto"/>
        <w:ind w:firstLineChars="0"/>
        <w:rPr>
          <w:rFonts w:hint="eastAsia"/>
          <w:color w:val="auto"/>
        </w:rPr>
      </w:pPr>
      <w:r>
        <w:rPr>
          <w:rFonts w:hint="eastAsia"/>
          <w:color w:val="auto"/>
        </w:rPr>
        <w:t>电池类型及延长寿命的使用方法说明；</w:t>
      </w:r>
    </w:p>
    <w:p>
      <w:pPr>
        <w:pStyle w:val="25"/>
        <w:numPr>
          <w:ilvl w:val="0"/>
          <w:numId w:val="17"/>
        </w:numPr>
        <w:tabs>
          <w:tab w:val="clear" w:pos="4201"/>
          <w:tab w:val="clear" w:pos="9298"/>
        </w:tabs>
        <w:spacing w:line="360" w:lineRule="auto"/>
        <w:ind w:firstLineChars="0"/>
        <w:rPr>
          <w:rFonts w:hint="eastAsia"/>
          <w:color w:val="auto"/>
        </w:rPr>
      </w:pPr>
      <w:r>
        <w:rPr>
          <w:rFonts w:hint="eastAsia"/>
          <w:color w:val="auto"/>
        </w:rPr>
        <w:t xml:space="preserve">售后服务期限，以及有资质的专业维修服务商信息； </w:t>
      </w:r>
    </w:p>
    <w:p>
      <w:pPr>
        <w:pStyle w:val="25"/>
        <w:numPr>
          <w:ilvl w:val="0"/>
          <w:numId w:val="17"/>
        </w:numPr>
        <w:tabs>
          <w:tab w:val="clear" w:pos="4201"/>
          <w:tab w:val="clear" w:pos="9298"/>
        </w:tabs>
        <w:spacing w:line="360" w:lineRule="auto"/>
        <w:ind w:left="0" w:firstLine="420" w:firstLineChars="0"/>
        <w:rPr>
          <w:rFonts w:hint="eastAsia"/>
          <w:color w:val="auto"/>
        </w:rPr>
      </w:pPr>
      <w:r>
        <w:rPr>
          <w:rFonts w:hint="eastAsia"/>
          <w:color w:val="auto"/>
        </w:rPr>
        <w:t>企业自身的或委托有资质的第三方的废弃产品回收体系，或通过网站、产品说明等有效载体告知回收渠道及相关联系方式等信息；</w:t>
      </w:r>
    </w:p>
    <w:p>
      <w:pPr>
        <w:pStyle w:val="25"/>
        <w:numPr>
          <w:ilvl w:val="0"/>
          <w:numId w:val="17"/>
        </w:numPr>
        <w:tabs>
          <w:tab w:val="clear" w:pos="4201"/>
          <w:tab w:val="clear" w:pos="9298"/>
        </w:tabs>
        <w:spacing w:line="360" w:lineRule="auto"/>
        <w:ind w:left="0" w:firstLine="420" w:firstLineChars="0"/>
        <w:rPr>
          <w:color w:val="auto"/>
        </w:rPr>
      </w:pPr>
      <w:r>
        <w:rPr>
          <w:rFonts w:hint="eastAsia"/>
          <w:color w:val="auto"/>
        </w:rPr>
        <w:t>产品安装</w:t>
      </w:r>
      <w:r>
        <w:rPr>
          <w:rFonts w:hint="eastAsia"/>
          <w:color w:val="auto"/>
          <w:szCs w:val="22"/>
        </w:rPr>
        <w:t>和使用手</w:t>
      </w:r>
      <w:r>
        <w:rPr>
          <w:rFonts w:hint="eastAsia"/>
          <w:color w:val="auto"/>
        </w:rPr>
        <w:t>册。</w:t>
      </w:r>
    </w:p>
    <w:p>
      <w:pPr>
        <w:pStyle w:val="25"/>
        <w:numPr>
          <w:ilvl w:val="0"/>
          <w:numId w:val="17"/>
        </w:numPr>
        <w:tabs>
          <w:tab w:val="clear" w:pos="4201"/>
          <w:tab w:val="clear" w:pos="9298"/>
        </w:tabs>
        <w:spacing w:line="360" w:lineRule="auto"/>
        <w:ind w:left="0" w:firstLine="420" w:firstLineChars="0"/>
        <w:rPr>
          <w:rFonts w:hint="eastAsia"/>
          <w:color w:val="auto"/>
        </w:rPr>
      </w:pPr>
      <w:r>
        <w:rPr>
          <w:rFonts w:hint="eastAsia"/>
          <w:color w:val="auto"/>
        </w:rPr>
        <w:t>第三方检测报告或证书</w:t>
      </w:r>
    </w:p>
    <w:p>
      <w:pPr>
        <w:pStyle w:val="49"/>
        <w:spacing w:before="143" w:after="143"/>
        <w:rPr>
          <w:rFonts w:hint="eastAsia"/>
          <w:color w:val="auto"/>
        </w:rPr>
      </w:pPr>
      <w:bookmarkStart w:id="67" w:name="_Toc503801777"/>
      <w:r>
        <w:rPr>
          <w:rFonts w:hint="eastAsia"/>
          <w:color w:val="auto"/>
        </w:rPr>
        <w:t>产品评价指标要求</w:t>
      </w:r>
      <w:bookmarkEnd w:id="67"/>
    </w:p>
    <w:p>
      <w:pPr>
        <w:pStyle w:val="48"/>
        <w:spacing w:before="143" w:after="143"/>
        <w:rPr>
          <w:rFonts w:hint="eastAsia"/>
          <w:color w:val="auto"/>
        </w:rPr>
      </w:pPr>
      <w:r>
        <w:rPr>
          <w:rFonts w:hint="eastAsia"/>
          <w:color w:val="auto"/>
        </w:rPr>
        <w:t>主要评价指标要求</w:t>
      </w:r>
    </w:p>
    <w:p>
      <w:pPr>
        <w:pStyle w:val="25"/>
        <w:spacing w:line="360" w:lineRule="auto"/>
        <w:rPr>
          <w:rFonts w:hint="eastAsia"/>
          <w:color w:val="auto"/>
          <w:szCs w:val="22"/>
        </w:rPr>
      </w:pPr>
      <w:r>
        <w:rPr>
          <w:rFonts w:hint="eastAsia"/>
          <w:color w:val="auto"/>
          <w:szCs w:val="22"/>
        </w:rPr>
        <w:t>本标准适用范围内产品的评价指标见表1。</w:t>
      </w:r>
    </w:p>
    <w:p>
      <w:pPr>
        <w:pStyle w:val="25"/>
        <w:jc w:val="center"/>
        <w:rPr>
          <w:rFonts w:hint="eastAsia" w:ascii="黑体" w:hAnsi="黑体" w:eastAsia="黑体" w:cs="黑体"/>
          <w:color w:val="auto"/>
        </w:rPr>
      </w:pPr>
      <w:r>
        <w:rPr>
          <w:rFonts w:hint="eastAsia" w:ascii="黑体" w:hAnsi="黑体" w:eastAsia="黑体" w:cs="黑体"/>
          <w:color w:val="auto"/>
        </w:rPr>
        <w:t>表1 XXXX的评价指标要求</w:t>
      </w:r>
    </w:p>
    <w:tbl>
      <w:tblPr>
        <w:tblStyle w:val="41"/>
        <w:tblW w:w="997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27"/>
        <w:gridCol w:w="1539"/>
        <w:gridCol w:w="4328"/>
        <w:gridCol w:w="29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tblHeader/>
          <w:jc w:val="center"/>
        </w:trPr>
        <w:tc>
          <w:tcPr>
            <w:tcW w:w="1127" w:type="dxa"/>
            <w:vAlign w:val="center"/>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hAnsi="黑体" w:cs="黑体"/>
                <w:color w:val="auto"/>
              </w:rPr>
            </w:pPr>
            <w:r>
              <w:rPr>
                <w:rFonts w:hint="eastAsia" w:hAnsi="黑体" w:cs="黑体"/>
                <w:color w:val="auto"/>
              </w:rPr>
              <w:t>一级指标</w:t>
            </w:r>
          </w:p>
        </w:tc>
        <w:tc>
          <w:tcPr>
            <w:tcW w:w="1539" w:type="dxa"/>
            <w:vAlign w:val="center"/>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hAnsi="黑体" w:cs="黑体"/>
                <w:color w:val="auto"/>
              </w:rPr>
            </w:pPr>
            <w:r>
              <w:rPr>
                <w:rFonts w:hint="eastAsia" w:hAnsi="黑体" w:cs="黑体"/>
                <w:color w:val="auto"/>
              </w:rPr>
              <w:t>二级指标</w:t>
            </w:r>
          </w:p>
        </w:tc>
        <w:tc>
          <w:tcPr>
            <w:tcW w:w="4328" w:type="dxa"/>
            <w:vAlign w:val="center"/>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hAnsi="黑体" w:cs="黑体"/>
                <w:color w:val="auto"/>
              </w:rPr>
            </w:pPr>
            <w:r>
              <w:rPr>
                <w:rFonts w:hint="eastAsia" w:hAnsi="黑体" w:cs="黑体"/>
                <w:color w:val="auto"/>
              </w:rPr>
              <w:t>基准值</w:t>
            </w:r>
          </w:p>
        </w:tc>
        <w:tc>
          <w:tcPr>
            <w:tcW w:w="2978" w:type="dxa"/>
            <w:vAlign w:val="center"/>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hAnsi="黑体" w:cs="黑体"/>
                <w:color w:val="auto"/>
              </w:rPr>
            </w:pPr>
            <w:r>
              <w:rPr>
                <w:rFonts w:hint="eastAsia" w:hAnsi="黑体" w:cs="黑体"/>
                <w:color w:val="auto"/>
              </w:rPr>
              <w:t>判定依据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r>
              <w:rPr>
                <w:rFonts w:hint="eastAsia" w:ascii="宋体" w:hAnsi="宋体" w:eastAsia="宋体" w:cs="宋体"/>
                <w:color w:val="auto"/>
              </w:rPr>
              <w:t>资源属性</w:t>
            </w:r>
          </w:p>
        </w:tc>
        <w:tc>
          <w:tcPr>
            <w:tcW w:w="1539"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hAnsi="Calibri" w:cs="Calibri"/>
                <w:color w:val="auto"/>
              </w:rPr>
            </w:pPr>
            <w:r>
              <w:rPr>
                <w:rFonts w:hint="eastAsia" w:ascii="宋体" w:hAnsi="宋体" w:eastAsia="宋体" w:cs="宋体"/>
                <w:color w:val="auto"/>
              </w:rPr>
              <w:t>减少产品中的有害物质使用及标识</w:t>
            </w:r>
          </w:p>
        </w:tc>
        <w:tc>
          <w:tcPr>
            <w:tcW w:w="4328" w:type="dxa"/>
            <w:vAlign w:val="top"/>
          </w:tcPr>
          <w:p>
            <w:pPr>
              <w:keepNext w:val="0"/>
              <w:keepLines w:val="0"/>
              <w:suppressLineNumbers w:val="0"/>
              <w:spacing w:before="0" w:beforeAutospacing="0" w:after="0" w:afterAutospacing="0"/>
              <w:ind w:left="0" w:right="0"/>
              <w:rPr>
                <w:rFonts w:hint="eastAsia" w:ascii="宋体" w:hAnsi="宋体" w:cs="宋体"/>
                <w:color w:val="auto"/>
              </w:rPr>
            </w:pPr>
            <w:r>
              <w:rPr>
                <w:rFonts w:hint="eastAsia" w:ascii="宋体" w:hAnsi="宋体" w:cs="宋体"/>
                <w:color w:val="auto"/>
              </w:rPr>
              <w:t>产品（除电池以外）的各均质材料中，铅、汞、镉、六价铬、多溴联苯、多溴二苯醚应满足GB/T 26572中规定的限量要求，除非其应用在经济上或技术上不可行，属于国家规定的限用物质应用例外。</w:t>
            </w:r>
          </w:p>
        </w:tc>
        <w:tc>
          <w:tcPr>
            <w:tcW w:w="297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--企业或其供应商的材料声明/协议或评估报告，和/或；</w:t>
            </w:r>
          </w:p>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--依据GB/T 26125/IEC 62321出具的检测报告，和/或；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--某些有害物质应用在经济上或技术上无法满足限量要求的证据。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p>
        </w:tc>
        <w:tc>
          <w:tcPr>
            <w:tcW w:w="4328" w:type="dxa"/>
            <w:vAlign w:val="top"/>
          </w:tcPr>
          <w:p>
            <w:pPr>
              <w:keepNext w:val="0"/>
              <w:keepLines w:val="0"/>
              <w:suppressLineNumbers w:val="0"/>
              <w:spacing w:before="0" w:beforeAutospacing="0" w:after="0" w:afterAutospacing="0"/>
              <w:ind w:left="0" w:right="0"/>
              <w:rPr>
                <w:rFonts w:hint="eastAsia" w:ascii="宋体" w:hAnsi="宋体" w:cs="宋体"/>
                <w:color w:val="auto"/>
                <w:highlight w:val="yellow"/>
              </w:rPr>
            </w:pPr>
            <w:r>
              <w:rPr>
                <w:rFonts w:hint="eastAsia" w:ascii="宋体" w:hAnsi="宋体" w:cs="宋体"/>
                <w:color w:val="auto"/>
                <w:highlight w:val="yellow"/>
              </w:rPr>
              <w:t>产品所含蓄电池中的汞含量小于等于0.0005%（重量百分比）；镉含量小于等于0.002%（重量百分比）</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eastAsia="宋体" w:cs="宋体"/>
                <w:color w:val="auto"/>
                <w:szCs w:val="20"/>
                <w:lang w:val="en-US" w:eastAsia="zh-CN"/>
              </w:rPr>
            </w:pPr>
            <w:r>
              <w:rPr>
                <w:rFonts w:hint="eastAsia" w:hAnsi="宋体" w:cs="宋体"/>
                <w:color w:val="auto"/>
                <w:szCs w:val="20"/>
                <w:lang w:val="en-US" w:eastAsia="zh-CN"/>
              </w:rPr>
              <w:t>企业声明或检测报告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hAnsi="Calibri" w:cs="Calibri"/>
                <w:color w:val="auto"/>
              </w:rPr>
            </w:pP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kern w:val="2"/>
                <w:szCs w:val="24"/>
              </w:rPr>
            </w:pPr>
            <w:r>
              <w:rPr>
                <w:rFonts w:hint="eastAsia" w:ascii="宋体" w:hAnsi="宋体" w:eastAsia="宋体" w:cs="宋体"/>
                <w:color w:val="auto"/>
                <w:kern w:val="2"/>
                <w:szCs w:val="24"/>
              </w:rPr>
              <w:t>产品的各均质材料中，邻苯二甲酸二 （2-乙基己基）酯(DEHP)、邻苯二甲酸丁苄酯(BBP)、邻苯二甲酸二丁酯(DBP)、邻苯二甲酸二异丁酯(DIBP)的含量均不超过0.1%（质量分数），除非其应用在经济上或技术上不可行。</w:t>
            </w:r>
          </w:p>
          <w:p>
            <w:pPr>
              <w:pStyle w:val="25"/>
              <w:keepNext w:val="0"/>
              <w:keepLines w:val="0"/>
              <w:widowControl/>
              <w:suppressLineNumbers w:val="0"/>
              <w:spacing w:before="0" w:beforeAutospacing="0" w:after="0" w:afterAutospacing="0"/>
              <w:ind w:left="0" w:right="0"/>
              <w:rPr>
                <w:rFonts w:hint="eastAsia" w:hAnsi="宋体" w:cs="宋体"/>
                <w:color w:val="auto"/>
                <w:szCs w:val="20"/>
              </w:rPr>
            </w:pPr>
          </w:p>
        </w:tc>
        <w:tc>
          <w:tcPr>
            <w:tcW w:w="297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--企业或其供应商声明/协议或评估报告，和/或；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0"/>
              </w:rPr>
              <w:t>--</w:t>
            </w:r>
            <w:r>
              <w:rPr>
                <w:rFonts w:hint="eastAsia" w:hAnsi="宋体" w:cs="宋体"/>
                <w:color w:val="auto"/>
                <w:szCs w:val="21"/>
              </w:rPr>
              <w:t>依据GB/T 29786或IEC 62321-8出具的检测报告，和/或；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w:t>
            </w:r>
            <w:r>
              <w:rPr>
                <w:rFonts w:hint="eastAsia" w:hAnsi="宋体" w:cs="宋体"/>
                <w:color w:val="auto"/>
                <w:spacing w:val="-10"/>
                <w:szCs w:val="21"/>
              </w:rPr>
              <w:t>某些有害物质应用在经济上或技术上无法满足限量要求的证据。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hAnsi="Calibri" w:cs="Calibri"/>
                <w:color w:val="auto"/>
              </w:rPr>
            </w:pP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塑料部件中六溴环十二烷（HBCD）的含量应</w:t>
            </w:r>
            <w:r>
              <w:rPr>
                <w:rFonts w:hint="eastAsia" w:ascii="宋体" w:hAnsi="宋体" w:eastAsia="宋体" w:cs="宋体"/>
                <w:color w:val="auto"/>
                <w:kern w:val="2"/>
                <w:szCs w:val="24"/>
              </w:rPr>
              <w:t>不超过</w:t>
            </w:r>
            <w:r>
              <w:rPr>
                <w:rFonts w:hint="eastAsia" w:ascii="宋体" w:hAnsi="宋体" w:eastAsia="宋体" w:cs="宋体"/>
                <w:color w:val="auto"/>
              </w:rPr>
              <w:t>100mg/kg。</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--企业或供应商的材料声明文件，和/或；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1"/>
              </w:rPr>
              <w:t>--依据GB/T 32883出具的六溴环十二烷的检测报告。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hAnsi="Calibri" w:cs="Calibri"/>
                <w:color w:val="auto"/>
              </w:rPr>
            </w:pP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塑料部件中短链氯化石蜡(SCCPs)的含量应</w:t>
            </w:r>
            <w:r>
              <w:rPr>
                <w:rFonts w:hint="eastAsia" w:ascii="宋体" w:hAnsi="宋体" w:eastAsia="宋体" w:cs="宋体"/>
                <w:color w:val="auto"/>
                <w:kern w:val="2"/>
                <w:szCs w:val="24"/>
              </w:rPr>
              <w:t>不超过</w:t>
            </w:r>
            <w:r>
              <w:rPr>
                <w:rFonts w:hint="eastAsia" w:ascii="宋体" w:hAnsi="宋体" w:eastAsia="宋体" w:cs="宋体"/>
                <w:color w:val="auto"/>
              </w:rPr>
              <w:t>0.15%（质量分数）。</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--企业或供应商的材料声明文件，和/或；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1"/>
              </w:rPr>
              <w:t>--依据GB/T 33345出具的短链氯化石蜡的检测报告。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便于拆解和回收设计</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质量大于25g的外部塑料外壳使用单聚物或者共聚物。</w:t>
            </w:r>
          </w:p>
        </w:tc>
        <w:tc>
          <w:tcPr>
            <w:tcW w:w="297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--企业或供应商的材料声明文件，和/或；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--检测报告。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产品采用模块化的设计，专业人员使用一般工具可将产品拆卸成部件，以便于产品维修、升级或回收再利用，如有单独的控制模块等。</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--产品结构图或拆解方法描述，和/或；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1"/>
              </w:rPr>
              <w:t>--其他满足要求的证明文件。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4328" w:type="dxa"/>
            <w:vAlign w:val="top"/>
          </w:tcPr>
          <w:p>
            <w:pPr>
              <w:keepNext w:val="0"/>
              <w:keepLines w:val="0"/>
              <w:suppressLineNumbers w:val="0"/>
              <w:spacing w:before="0" w:beforeAutospacing="0" w:after="0" w:afterAutospacing="0"/>
              <w:ind w:left="0" w:right="0"/>
              <w:rPr>
                <w:rFonts w:hint="eastAsia" w:ascii="宋体" w:hAnsi="宋体" w:cs="宋体"/>
                <w:color w:val="auto"/>
                <w:szCs w:val="21"/>
              </w:rPr>
            </w:pPr>
            <w:r>
              <w:rPr>
                <w:rFonts w:hint="eastAsia" w:ascii="宋体" w:hAnsi="宋体" w:cs="宋体"/>
                <w:color w:val="auto"/>
                <w:szCs w:val="21"/>
              </w:rPr>
              <w:t>质量超过25g</w:t>
            </w:r>
            <w:r>
              <w:rPr>
                <w:rFonts w:hint="eastAsia" w:ascii="宋体" w:hAnsi="宋体" w:cs="宋体"/>
                <w:bCs/>
                <w:color w:val="auto"/>
                <w:szCs w:val="21"/>
                <w:lang w:eastAsia="ja-JP"/>
              </w:rPr>
              <w:t>且平面面积超过200</w:t>
            </w:r>
            <w:r>
              <w:rPr>
                <w:rFonts w:hint="eastAsia" w:ascii="宋体" w:hAnsi="宋体" w:cs="宋体"/>
                <w:bCs/>
                <w:color w:val="auto"/>
                <w:szCs w:val="21"/>
              </w:rPr>
              <w:t>mm</w:t>
            </w:r>
            <w:r>
              <w:rPr>
                <w:rFonts w:hint="eastAsia" w:ascii="宋体" w:hAnsi="宋体" w:cs="宋体"/>
                <w:bCs/>
                <w:color w:val="auto"/>
                <w:szCs w:val="21"/>
                <w:vertAlign w:val="superscript"/>
              </w:rPr>
              <w:t>2</w:t>
            </w:r>
            <w:r>
              <w:rPr>
                <w:rFonts w:hint="eastAsia" w:ascii="宋体" w:hAnsi="宋体" w:cs="宋体"/>
                <w:color w:val="auto"/>
                <w:szCs w:val="21"/>
              </w:rPr>
              <w:t>的塑料部件应按照GB/T 16288进行标识。以下情况除外：</w:t>
            </w:r>
          </w:p>
          <w:p>
            <w:pPr>
              <w:keepNext w:val="0"/>
              <w:keepLines w:val="0"/>
              <w:suppressLineNumbers w:val="0"/>
              <w:spacing w:before="0" w:beforeAutospacing="0" w:after="0" w:afterAutospacing="0"/>
              <w:ind w:left="0" w:right="0"/>
              <w:rPr>
                <w:rFonts w:hint="eastAsia" w:ascii="宋体" w:hAnsi="宋体" w:cs="宋体"/>
                <w:color w:val="auto"/>
                <w:kern w:val="0"/>
                <w:szCs w:val="21"/>
              </w:rPr>
            </w:pPr>
            <w:r>
              <w:rPr>
                <w:rFonts w:hint="eastAsia" w:ascii="宋体" w:hAnsi="宋体" w:cs="宋体"/>
                <w:color w:val="auto"/>
                <w:kern w:val="0"/>
                <w:szCs w:val="21"/>
              </w:rPr>
              <w:t>--由于标识影响了塑料部件的性能或功能；</w:t>
            </w:r>
          </w:p>
          <w:p>
            <w:pPr>
              <w:keepNext w:val="0"/>
              <w:keepLines w:val="0"/>
              <w:suppressLineNumbers w:val="0"/>
              <w:spacing w:before="0" w:beforeAutospacing="0" w:after="0" w:afterAutospacing="0"/>
              <w:ind w:left="0" w:right="0"/>
              <w:rPr>
                <w:rFonts w:hint="eastAsia" w:ascii="宋体" w:hAnsi="宋体" w:cs="宋体"/>
                <w:color w:val="auto"/>
                <w:kern w:val="0"/>
                <w:szCs w:val="21"/>
              </w:rPr>
            </w:pPr>
            <w:r>
              <w:rPr>
                <w:rFonts w:hint="eastAsia" w:ascii="宋体" w:hAnsi="宋体" w:cs="宋体"/>
                <w:color w:val="auto"/>
                <w:kern w:val="0"/>
                <w:szCs w:val="21"/>
              </w:rPr>
              <w:t>--由于生产工艺的原因，从技术上无法进行标识；</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1"/>
              </w:rPr>
              <w:t>--标识增加了产品故障率，或导致了原本可避免的材料浪费。</w:t>
            </w:r>
          </w:p>
        </w:tc>
        <w:tc>
          <w:tcPr>
            <w:tcW w:w="297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相关塑料部件及其上的标志。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432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eastAsia="宋体" w:cs="宋体"/>
                <w:color w:val="auto"/>
                <w:szCs w:val="21"/>
                <w:lang w:eastAsia="zh-CN"/>
              </w:rPr>
            </w:pPr>
            <w:r>
              <w:rPr>
                <w:rFonts w:hint="eastAsia" w:hAnsi="宋体" w:cs="宋体"/>
                <w:color w:val="auto"/>
                <w:szCs w:val="21"/>
              </w:rPr>
              <w:t>金属部件、电池、导线和变压器等</w:t>
            </w:r>
            <w:r>
              <w:rPr>
                <w:rFonts w:hint="eastAsia" w:hAnsi="宋体" w:cs="宋体"/>
                <w:color w:val="auto"/>
                <w:szCs w:val="21"/>
                <w:lang w:eastAsia="zh-CN"/>
              </w:rPr>
              <w:t>均可拆卸。</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--产品结构图或拆解方法描述，和/或；</w:t>
            </w:r>
          </w:p>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--其他满足要求的证明文件。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highlight w:val="yellow"/>
              </w:rPr>
              <w:t>可再生利用率</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lang w:eastAsia="zh-CN"/>
              </w:rPr>
            </w:pPr>
            <w:r>
              <w:rPr>
                <w:rFonts w:hint="eastAsia" w:ascii="宋体" w:hAnsi="宋体" w:eastAsia="宋体" w:cs="宋体"/>
                <w:color w:val="auto"/>
              </w:rPr>
              <w:t>使用可再生循环利用的材料和部</w:t>
            </w:r>
            <w:r>
              <w:rPr>
                <w:rFonts w:hint="eastAsia" w:ascii="宋体" w:hAnsi="宋体" w:eastAsia="宋体" w:cs="宋体"/>
                <w:color w:val="auto"/>
                <w:lang w:eastAsia="zh-CN"/>
              </w:rPr>
              <w:t>件应大于</w:t>
            </w:r>
            <w:r>
              <w:rPr>
                <w:rFonts w:hint="eastAsia" w:ascii="宋体" w:hAnsi="宋体" w:eastAsia="宋体" w:cs="宋体"/>
                <w:color w:val="auto"/>
                <w:lang w:val="en-US" w:eastAsia="zh-CN"/>
              </w:rPr>
              <w:t>70%</w:t>
            </w:r>
            <w:r>
              <w:rPr>
                <w:rFonts w:hint="eastAsia" w:ascii="宋体" w:hAnsi="宋体" w:eastAsia="宋体" w:cs="宋体"/>
                <w:color w:val="auto"/>
                <w:lang w:eastAsia="zh-CN"/>
              </w:rPr>
              <w:t>。</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材料声明文件。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产品包装</w:t>
            </w:r>
          </w:p>
        </w:tc>
        <w:tc>
          <w:tcPr>
            <w:tcW w:w="4328" w:type="dxa"/>
            <w:vAlign w:val="top"/>
          </w:tcPr>
          <w:p>
            <w:pPr>
              <w:keepNext w:val="0"/>
              <w:keepLines w:val="0"/>
              <w:suppressLineNumbers w:val="0"/>
              <w:autoSpaceDE w:val="0"/>
              <w:autoSpaceDN w:val="0"/>
              <w:adjustRightInd w:val="0"/>
              <w:spacing w:before="0" w:beforeAutospacing="0" w:after="0" w:afterAutospacing="0"/>
              <w:ind w:left="0" w:right="0"/>
              <w:rPr>
                <w:rFonts w:hint="eastAsia" w:ascii="宋体" w:hAnsi="宋体" w:cs="宋体"/>
                <w:color w:val="auto"/>
                <w:kern w:val="0"/>
                <w:szCs w:val="21"/>
              </w:rPr>
            </w:pPr>
            <w:r>
              <w:rPr>
                <w:rFonts w:hint="eastAsia" w:ascii="宋体" w:hAnsi="宋体" w:cs="宋体"/>
                <w:color w:val="auto"/>
                <w:kern w:val="0"/>
                <w:szCs w:val="21"/>
              </w:rPr>
              <w:t>不得使用氢氟氯化碳（HCFCs）作为发泡剂。</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1"/>
              </w:rPr>
            </w:pPr>
            <w:r>
              <w:rPr>
                <w:rFonts w:hint="eastAsia" w:hAnsi="宋体" w:cs="宋体"/>
                <w:color w:val="auto"/>
                <w:szCs w:val="21"/>
              </w:rPr>
              <w:t>提供企业或供应商的材料声明文件。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846"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keepNext w:val="0"/>
              <w:keepLines w:val="0"/>
              <w:suppressLineNumbers w:val="0"/>
              <w:autoSpaceDE w:val="0"/>
              <w:autoSpaceDN w:val="0"/>
              <w:adjustRightInd w:val="0"/>
              <w:spacing w:before="0" w:beforeAutospacing="0" w:after="0" w:afterAutospacing="0"/>
              <w:ind w:left="0" w:right="0"/>
              <w:jc w:val="left"/>
              <w:rPr>
                <w:rFonts w:hint="eastAsia" w:ascii="宋体" w:hAnsi="宋体" w:cs="宋体"/>
                <w:color w:val="auto"/>
              </w:rPr>
            </w:pPr>
          </w:p>
        </w:tc>
        <w:tc>
          <w:tcPr>
            <w:tcW w:w="4328" w:type="dxa"/>
            <w:vAlign w:val="top"/>
          </w:tcPr>
          <w:p>
            <w:pPr>
              <w:keepNext w:val="0"/>
              <w:keepLines w:val="0"/>
              <w:suppressLineNumbers w:val="0"/>
              <w:autoSpaceDE w:val="0"/>
              <w:autoSpaceDN w:val="0"/>
              <w:adjustRightInd w:val="0"/>
              <w:spacing w:before="0" w:beforeAutospacing="0" w:after="0" w:afterAutospacing="0"/>
              <w:ind w:left="0" w:right="0"/>
              <w:rPr>
                <w:rFonts w:hint="eastAsia" w:ascii="宋体" w:hAnsi="宋体" w:cs="宋体"/>
                <w:color w:val="auto"/>
                <w:szCs w:val="21"/>
              </w:rPr>
            </w:pPr>
            <w:r>
              <w:rPr>
                <w:rFonts w:hint="eastAsia" w:ascii="宋体" w:hAnsi="宋体" w:cs="宋体"/>
                <w:color w:val="auto"/>
                <w:szCs w:val="21"/>
              </w:rPr>
              <w:t>选择符合GB/T 16716.1的产品包装。包装物符合有害物质限制要求、以及包装减量化、重复使用、回收利用和最终处理方面的要求。</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2"/>
              </w:rPr>
            </w:pPr>
            <w:r>
              <w:rPr>
                <w:rFonts w:hint="eastAsia" w:hAnsi="宋体" w:cs="宋体"/>
                <w:color w:val="auto"/>
                <w:szCs w:val="22"/>
              </w:rPr>
              <w:t>--提供包装及其材料的符合性说明文件，和/或；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2"/>
              </w:rPr>
            </w:pPr>
            <w:r>
              <w:rPr>
                <w:rFonts w:hint="eastAsia" w:hAnsi="宋体" w:cs="宋体"/>
                <w:color w:val="auto"/>
                <w:szCs w:val="22"/>
              </w:rPr>
              <w:t>--供应商声明/环保协议，和/或；</w:t>
            </w:r>
          </w:p>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2"/>
              </w:rPr>
            </w:pPr>
            <w:r>
              <w:rPr>
                <w:rFonts w:hint="eastAsia" w:hAnsi="宋体" w:cs="宋体"/>
                <w:color w:val="auto"/>
                <w:szCs w:val="22"/>
              </w:rPr>
              <w:t>--提供依据GB/T 26125出具的包装物中有害物质的检测报告。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jc w:val="center"/>
              <w:rPr>
                <w:rFonts w:hint="eastAsia" w:ascii="宋体" w:hAnsi="宋体" w:eastAsia="宋体" w:cs="宋体"/>
                <w:color w:val="auto"/>
              </w:rPr>
            </w:pPr>
          </w:p>
        </w:tc>
        <w:tc>
          <w:tcPr>
            <w:tcW w:w="1539" w:type="dxa"/>
            <w:vMerge w:val="continue"/>
            <w:vAlign w:val="top"/>
          </w:tcPr>
          <w:p>
            <w:pPr>
              <w:keepNext w:val="0"/>
              <w:keepLines w:val="0"/>
              <w:suppressLineNumbers w:val="0"/>
              <w:autoSpaceDE w:val="0"/>
              <w:autoSpaceDN w:val="0"/>
              <w:adjustRightInd w:val="0"/>
              <w:spacing w:before="0" w:beforeAutospacing="0" w:after="0" w:afterAutospacing="0"/>
              <w:ind w:left="0" w:right="0"/>
              <w:jc w:val="left"/>
              <w:rPr>
                <w:rFonts w:hint="eastAsia" w:ascii="宋体" w:hAnsi="宋体" w:cs="宋体"/>
                <w:color w:val="auto"/>
              </w:rPr>
            </w:pPr>
          </w:p>
        </w:tc>
        <w:tc>
          <w:tcPr>
            <w:tcW w:w="4328" w:type="dxa"/>
            <w:vAlign w:val="top"/>
          </w:tcPr>
          <w:p>
            <w:pPr>
              <w:keepNext w:val="0"/>
              <w:keepLines w:val="0"/>
              <w:suppressLineNumbers w:val="0"/>
              <w:autoSpaceDE w:val="0"/>
              <w:autoSpaceDN w:val="0"/>
              <w:adjustRightInd w:val="0"/>
              <w:spacing w:before="0" w:beforeAutospacing="0" w:after="0" w:afterAutospacing="0"/>
              <w:ind w:left="0" w:right="0"/>
              <w:rPr>
                <w:rFonts w:hint="eastAsia" w:ascii="宋体" w:hAnsi="宋体" w:cs="宋体"/>
                <w:color w:val="auto"/>
                <w:szCs w:val="21"/>
              </w:rPr>
            </w:pPr>
            <w:r>
              <w:rPr>
                <w:rFonts w:hint="eastAsia" w:ascii="宋体" w:hAnsi="宋体" w:cs="宋体"/>
                <w:color w:val="auto"/>
                <w:szCs w:val="21"/>
              </w:rPr>
              <w:t>应按照GB/T 18455进行标识。</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带有GB/T 18455标志的包装物。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r>
              <w:rPr>
                <w:rFonts w:hint="eastAsia" w:ascii="宋体" w:hAnsi="宋体" w:eastAsia="宋体" w:cs="宋体"/>
                <w:color w:val="auto"/>
                <w:szCs w:val="22"/>
              </w:rPr>
              <w:t>能源指标</w:t>
            </w:r>
          </w:p>
        </w:tc>
        <w:tc>
          <w:tcPr>
            <w:tcW w:w="1539"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r>
              <w:rPr>
                <w:rFonts w:hint="eastAsia" w:ascii="宋体" w:hAnsi="宋体" w:eastAsia="宋体" w:cs="宋体"/>
                <w:color w:val="auto"/>
                <w:szCs w:val="22"/>
              </w:rPr>
              <w:t>能效要求</w:t>
            </w:r>
          </w:p>
        </w:tc>
        <w:tc>
          <w:tcPr>
            <w:tcW w:w="4328" w:type="dxa"/>
            <w:vAlign w:val="top"/>
          </w:tcPr>
          <w:p>
            <w:pPr>
              <w:keepNext w:val="0"/>
              <w:keepLines w:val="0"/>
              <w:suppressLineNumbers w:val="0"/>
              <w:autoSpaceDE w:val="0"/>
              <w:autoSpaceDN w:val="0"/>
              <w:adjustRightInd w:val="0"/>
              <w:spacing w:before="0" w:beforeAutospacing="0" w:after="0" w:afterAutospacing="0"/>
              <w:ind w:left="0" w:right="0"/>
              <w:rPr>
                <w:rFonts w:hint="eastAsia" w:ascii="宋体" w:hAnsi="宋体" w:cs="宋体"/>
                <w:color w:val="auto"/>
                <w:szCs w:val="21"/>
              </w:rPr>
            </w:pPr>
            <w:r>
              <w:rPr>
                <w:rFonts w:hint="eastAsia" w:ascii="宋体" w:hAnsi="宋体" w:cs="宋体"/>
                <w:color w:val="auto"/>
                <w:szCs w:val="21"/>
              </w:rPr>
              <w:t>产品的输入特性及电源效率均满足GB/T 14715规定的</w:t>
            </w:r>
            <w:r>
              <w:rPr>
                <w:rFonts w:hint="eastAsia" w:ascii="宋体" w:hAnsi="宋体" w:cs="宋体"/>
                <w:color w:val="auto"/>
                <w:szCs w:val="21"/>
                <w:lang w:eastAsia="zh-CN"/>
              </w:rPr>
              <w:t>一</w:t>
            </w:r>
            <w:r>
              <w:rPr>
                <w:rFonts w:hint="eastAsia" w:ascii="宋体" w:hAnsi="宋体" w:cs="宋体"/>
                <w:color w:val="auto"/>
                <w:szCs w:val="21"/>
              </w:rPr>
              <w:t>级及以上的要求</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提供的测试报告或证书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8"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432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eastAsia="宋体" w:cs="宋体"/>
                <w:color w:val="auto"/>
                <w:kern w:val="2"/>
                <w:szCs w:val="24"/>
                <w:lang w:eastAsia="zh-CN"/>
              </w:rPr>
            </w:pPr>
            <w:r>
              <w:rPr>
                <w:rFonts w:hint="eastAsia" w:hAnsi="宋体" w:cs="宋体"/>
                <w:color w:val="auto"/>
                <w:kern w:val="2"/>
                <w:szCs w:val="24"/>
              </w:rPr>
              <w:t>对多机冗余的不间断电源，</w:t>
            </w:r>
            <w:r>
              <w:rPr>
                <w:rFonts w:hint="eastAsia" w:hAnsi="宋体" w:cs="宋体"/>
                <w:color w:val="auto"/>
                <w:kern w:val="2"/>
                <w:szCs w:val="24"/>
                <w:lang w:eastAsia="zh-CN"/>
              </w:rPr>
              <w:t>应具备</w:t>
            </w:r>
            <w:r>
              <w:rPr>
                <w:rFonts w:hint="eastAsia" w:hAnsi="宋体" w:cs="宋体"/>
                <w:color w:val="auto"/>
                <w:kern w:val="2"/>
                <w:szCs w:val="24"/>
              </w:rPr>
              <w:t>休眠</w:t>
            </w:r>
            <w:r>
              <w:rPr>
                <w:rFonts w:hint="eastAsia" w:hAnsi="宋体" w:cs="宋体"/>
                <w:color w:val="auto"/>
                <w:kern w:val="2"/>
                <w:szCs w:val="24"/>
                <w:lang w:eastAsia="zh-CN"/>
              </w:rPr>
              <w:t>功能</w:t>
            </w:r>
          </w:p>
        </w:tc>
        <w:tc>
          <w:tcPr>
            <w:tcW w:w="2978" w:type="dxa"/>
            <w:vAlign w:val="top"/>
          </w:tcPr>
          <w:p>
            <w:pPr>
              <w:pStyle w:val="25"/>
              <w:keepNext w:val="0"/>
              <w:keepLines w:val="0"/>
              <w:widowControl/>
              <w:suppressLineNumbers w:val="0"/>
              <w:spacing w:before="0" w:beforeAutospacing="0" w:after="0" w:afterAutospacing="0"/>
              <w:ind w:left="0" w:leftChars="0" w:right="0" w:firstLine="0" w:firstLineChars="0"/>
              <w:rPr>
                <w:rFonts w:hint="eastAsia" w:hAnsi="宋体" w:eastAsia="宋体" w:cs="宋体"/>
                <w:color w:val="auto"/>
                <w:szCs w:val="20"/>
                <w:lang w:eastAsia="zh-CN"/>
              </w:rPr>
            </w:pPr>
            <w:r>
              <w:rPr>
                <w:rFonts w:hint="eastAsia" w:hAnsi="宋体" w:cs="宋体"/>
                <w:color w:val="auto"/>
                <w:szCs w:val="20"/>
                <w:lang w:eastAsia="zh-CN"/>
              </w:rPr>
              <w:t>产品说明书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5" w:hRule="atLeast"/>
          <w:jc w:val="center"/>
        </w:trPr>
        <w:tc>
          <w:tcPr>
            <w:tcW w:w="1127"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r>
              <w:rPr>
                <w:rFonts w:hint="eastAsia" w:ascii="宋体" w:hAnsi="宋体" w:eastAsia="宋体" w:cs="宋体"/>
                <w:color w:val="auto"/>
              </w:rPr>
              <w:t>环境属性</w:t>
            </w: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strike/>
                <w:color w:val="auto"/>
                <w:szCs w:val="22"/>
              </w:rPr>
            </w:pPr>
            <w:r>
              <w:rPr>
                <w:rFonts w:hint="eastAsia" w:ascii="宋体" w:hAnsi="宋体" w:eastAsia="宋体" w:cs="宋体"/>
                <w:color w:val="auto"/>
              </w:rPr>
              <w:t>噪声</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cs="宋体"/>
                <w:strike/>
                <w:color w:val="auto"/>
                <w:kern w:val="2"/>
                <w:szCs w:val="24"/>
                <w:highlight w:val="yellow"/>
              </w:rPr>
            </w:pPr>
            <w:r>
              <w:rPr>
                <w:rFonts w:hint="eastAsia" w:ascii="宋体" w:hAnsi="宋体" w:eastAsia="宋体" w:cs="宋体"/>
                <w:color w:val="auto"/>
                <w:szCs w:val="18"/>
              </w:rPr>
              <w:t>产品声功率级水平应大于G</w:t>
            </w:r>
            <w:r>
              <w:rPr>
                <w:rFonts w:hint="default" w:ascii="宋体" w:hAnsi="宋体" w:eastAsia="宋体" w:cs="宋体"/>
                <w:color w:val="auto"/>
                <w:szCs w:val="18"/>
              </w:rPr>
              <w:t>B/T 14715</w:t>
            </w:r>
            <w:r>
              <w:rPr>
                <w:rFonts w:hint="eastAsia" w:ascii="宋体" w:hAnsi="宋体" w:eastAsia="宋体" w:cs="宋体"/>
                <w:color w:val="auto"/>
                <w:szCs w:val="18"/>
              </w:rPr>
              <w:t>规定</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strike/>
                <w:color w:val="auto"/>
                <w:szCs w:val="21"/>
              </w:rPr>
            </w:pPr>
            <w:r>
              <w:rPr>
                <w:rFonts w:hint="eastAsia" w:hAnsi="宋体" w:cs="宋体"/>
                <w:color w:val="auto"/>
                <w:szCs w:val="20"/>
              </w:rPr>
              <w:t>提供测试报告或证书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7"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18"/>
              </w:rPr>
            </w:pPr>
            <w:r>
              <w:rPr>
                <w:rFonts w:hint="eastAsia" w:ascii="宋体" w:hAnsi="宋体" w:eastAsia="宋体" w:cs="宋体"/>
                <w:color w:val="auto"/>
                <w:szCs w:val="18"/>
              </w:rPr>
              <w:t>有害物质排放/泄漏</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18"/>
                <w:lang w:eastAsia="zh-CN"/>
              </w:rPr>
            </w:pPr>
            <w:r>
              <w:rPr>
                <w:rFonts w:hint="eastAsia" w:ascii="宋体" w:hAnsi="宋体" w:eastAsia="宋体" w:cs="宋体"/>
                <w:color w:val="auto"/>
                <w:szCs w:val="18"/>
              </w:rPr>
              <w:t>电池泄气阀的排放应符合</w:t>
            </w:r>
            <w:r>
              <w:rPr>
                <w:rFonts w:hint="eastAsia" w:ascii="宋体" w:hAnsi="宋体" w:eastAsia="宋体" w:cs="宋体"/>
                <w:color w:val="auto"/>
                <w:szCs w:val="18"/>
                <w:lang w:eastAsia="zh-CN"/>
              </w:rPr>
              <w:t>？</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eastAsia="宋体" w:cs="宋体"/>
                <w:color w:val="auto"/>
                <w:szCs w:val="21"/>
                <w:lang w:eastAsia="zh-CN"/>
              </w:rPr>
            </w:pPr>
            <w:r>
              <w:rPr>
                <w:rFonts w:hint="eastAsia" w:hAnsi="宋体" w:cs="宋体"/>
                <w:color w:val="auto"/>
                <w:szCs w:val="21"/>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restart"/>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r>
              <w:rPr>
                <w:rFonts w:hint="eastAsia" w:ascii="宋体" w:hAnsi="宋体" w:eastAsia="宋体" w:cs="宋体"/>
                <w:color w:val="auto"/>
                <w:szCs w:val="22"/>
              </w:rPr>
              <w:t>产品属性</w:t>
            </w: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18"/>
                <w:lang w:eastAsia="zh-CN"/>
              </w:rPr>
            </w:pPr>
            <w:r>
              <w:rPr>
                <w:rFonts w:hint="eastAsia" w:ascii="宋体" w:hAnsi="宋体" w:eastAsia="宋体" w:cs="宋体"/>
                <w:color w:val="auto"/>
                <w:szCs w:val="18"/>
                <w:lang w:eastAsia="zh-CN"/>
              </w:rPr>
              <w:t>电压调节</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18"/>
              </w:rPr>
            </w:pPr>
            <w:r>
              <w:rPr>
                <w:rFonts w:hint="eastAsia" w:ascii="宋体" w:hAnsi="宋体" w:eastAsia="宋体" w:cs="宋体"/>
                <w:color w:val="auto"/>
                <w:szCs w:val="18"/>
                <w:lang w:eastAsia="zh-CN"/>
              </w:rPr>
              <w:t>应</w:t>
            </w:r>
            <w:r>
              <w:rPr>
                <w:rFonts w:hint="eastAsia" w:ascii="宋体" w:hAnsi="宋体" w:eastAsia="宋体" w:cs="宋体"/>
                <w:color w:val="auto"/>
                <w:szCs w:val="18"/>
              </w:rPr>
              <w:t>具有自动电压调节功能</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eastAsia="宋体" w:cs="宋体"/>
                <w:color w:val="auto"/>
                <w:szCs w:val="20"/>
                <w:lang w:eastAsia="zh-CN"/>
              </w:rPr>
            </w:pPr>
            <w:r>
              <w:rPr>
                <w:rFonts w:hint="eastAsia" w:hAnsi="宋体" w:cs="宋体"/>
                <w:color w:val="auto"/>
                <w:szCs w:val="20"/>
                <w:lang w:eastAsia="zh-CN"/>
              </w:rPr>
              <w:t>产品说明书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额定输出功率</w:t>
            </w:r>
            <w:r>
              <w:rPr>
                <w:rFonts w:hint="eastAsia" w:ascii="宋体" w:hAnsi="宋体" w:eastAsia="宋体" w:cs="宋体"/>
                <w:color w:val="auto"/>
                <w:szCs w:val="18"/>
                <w:lang w:eastAsia="zh-CN"/>
              </w:rPr>
              <w:t>因数</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cs="宋体"/>
                <w:strike/>
                <w:color w:val="auto"/>
                <w:kern w:val="2"/>
                <w:szCs w:val="24"/>
                <w:highlight w:val="yellow"/>
              </w:rPr>
            </w:pPr>
            <w:r>
              <w:rPr>
                <w:rFonts w:hint="eastAsia" w:ascii="宋体" w:hAnsi="宋体" w:eastAsia="宋体" w:cs="宋体"/>
                <w:color w:val="auto"/>
                <w:szCs w:val="18"/>
              </w:rPr>
              <w:t>产品的额定输出功率</w:t>
            </w:r>
            <w:r>
              <w:rPr>
                <w:rFonts w:hint="eastAsia" w:ascii="宋体" w:hAnsi="宋体" w:eastAsia="宋体" w:cs="宋体"/>
                <w:color w:val="auto"/>
                <w:szCs w:val="18"/>
                <w:lang w:eastAsia="zh-CN"/>
              </w:rPr>
              <w:t>因数</w:t>
            </w:r>
            <w:r>
              <w:rPr>
                <w:rFonts w:hint="eastAsia" w:ascii="宋体" w:hAnsi="宋体" w:eastAsia="宋体" w:cs="宋体"/>
                <w:color w:val="auto"/>
                <w:szCs w:val="18"/>
              </w:rPr>
              <w:t>应大于G</w:t>
            </w:r>
            <w:r>
              <w:rPr>
                <w:rFonts w:hint="default" w:ascii="宋体" w:hAnsi="宋体" w:eastAsia="宋体" w:cs="宋体"/>
                <w:color w:val="auto"/>
                <w:szCs w:val="18"/>
              </w:rPr>
              <w:t>B/T 14715</w:t>
            </w:r>
            <w:r>
              <w:rPr>
                <w:rFonts w:hint="eastAsia" w:ascii="宋体" w:hAnsi="宋体" w:eastAsia="宋体" w:cs="宋体"/>
                <w:color w:val="auto"/>
                <w:szCs w:val="18"/>
              </w:rPr>
              <w:t>规定</w:t>
            </w:r>
            <w:bookmarkStart w:id="74" w:name="_GoBack"/>
            <w:bookmarkEnd w:id="74"/>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strike/>
                <w:color w:val="auto"/>
                <w:szCs w:val="21"/>
              </w:rPr>
            </w:pPr>
            <w:r>
              <w:rPr>
                <w:rFonts w:hint="eastAsia" w:hAnsi="宋体" w:cs="宋体"/>
                <w:color w:val="auto"/>
                <w:szCs w:val="20"/>
              </w:rPr>
              <w:t>提供测试报告。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输出电压波形失真</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cs="宋体"/>
                <w:strike/>
                <w:color w:val="auto"/>
                <w:kern w:val="2"/>
                <w:szCs w:val="24"/>
                <w:highlight w:val="yellow"/>
              </w:rPr>
            </w:pPr>
            <w:r>
              <w:rPr>
                <w:rFonts w:hint="eastAsia" w:ascii="宋体" w:hAnsi="宋体" w:eastAsia="宋体" w:cs="宋体"/>
                <w:color w:val="auto"/>
                <w:szCs w:val="18"/>
              </w:rPr>
              <w:t>产品的输出电压波形失真应≤2%</w:t>
            </w:r>
            <w:r>
              <w:rPr>
                <w:rFonts w:hint="default" w:ascii="宋体" w:hAnsi="宋体" w:eastAsia="宋体" w:cs="宋体"/>
                <w:color w:val="auto"/>
                <w:szCs w:val="18"/>
              </w:rPr>
              <w:t xml:space="preserve">  </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strike/>
                <w:color w:val="auto"/>
                <w:szCs w:val="21"/>
              </w:rPr>
            </w:pPr>
            <w:r>
              <w:rPr>
                <w:rFonts w:hint="eastAsia" w:hAnsi="宋体" w:cs="宋体"/>
                <w:color w:val="auto"/>
                <w:szCs w:val="20"/>
              </w:rPr>
              <w:t>提供测试报告。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电池后备时间</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产品的后备时间应大于5m</w:t>
            </w:r>
            <w:r>
              <w:rPr>
                <w:rFonts w:hint="default" w:ascii="宋体" w:hAnsi="宋体" w:eastAsia="宋体" w:cs="宋体"/>
                <w:color w:val="auto"/>
              </w:rPr>
              <w:t>in</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提供相关证明文件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切换时间</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产品的切换时间应为0</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提供相关证明文件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安全要求</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产品的一般安全要求符合G</w:t>
            </w:r>
            <w:r>
              <w:rPr>
                <w:rFonts w:hint="default" w:ascii="宋体" w:hAnsi="宋体" w:eastAsia="宋体" w:cs="宋体"/>
                <w:color w:val="auto"/>
              </w:rPr>
              <w:t>B 4943</w:t>
            </w:r>
            <w:r>
              <w:rPr>
                <w:rFonts w:hint="eastAsia" w:ascii="宋体" w:hAnsi="宋体" w:eastAsia="宋体" w:cs="宋体"/>
                <w:color w:val="auto"/>
              </w:rPr>
              <w:t>.</w:t>
            </w:r>
            <w:r>
              <w:rPr>
                <w:rFonts w:hint="default" w:ascii="宋体" w:hAnsi="宋体" w:eastAsia="宋体" w:cs="宋体"/>
                <w:color w:val="auto"/>
              </w:rPr>
              <w:t>1</w:t>
            </w:r>
            <w:r>
              <w:rPr>
                <w:rFonts w:hint="eastAsia" w:ascii="宋体" w:hAnsi="宋体" w:eastAsia="宋体" w:cs="宋体"/>
                <w:color w:val="auto"/>
              </w:rPr>
              <w:t>的有关规定</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提供测试报告或证书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无线电骚扰</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产品的无线电骚扰要求符合G</w:t>
            </w:r>
            <w:r>
              <w:rPr>
                <w:rFonts w:hint="default" w:ascii="宋体" w:hAnsi="宋体" w:eastAsia="宋体" w:cs="宋体"/>
                <w:color w:val="auto"/>
              </w:rPr>
              <w:t>B/T 9254</w:t>
            </w:r>
            <w:r>
              <w:rPr>
                <w:rFonts w:hint="eastAsia" w:ascii="宋体" w:hAnsi="宋体" w:eastAsia="宋体" w:cs="宋体"/>
                <w:color w:val="auto"/>
              </w:rPr>
              <w:t>的有关规定</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提供测试报告或证书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2" w:hRule="atLeast"/>
          <w:jc w:val="center"/>
        </w:trPr>
        <w:tc>
          <w:tcPr>
            <w:tcW w:w="1127" w:type="dxa"/>
            <w:vMerge w:val="continue"/>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szCs w:val="22"/>
              </w:rPr>
            </w:pPr>
          </w:p>
        </w:tc>
        <w:tc>
          <w:tcPr>
            <w:tcW w:w="1539"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抗扰度</w:t>
            </w:r>
          </w:p>
        </w:tc>
        <w:tc>
          <w:tcPr>
            <w:tcW w:w="4328" w:type="dxa"/>
            <w:vAlign w:val="top"/>
          </w:tcPr>
          <w:p>
            <w:pPr>
              <w:pStyle w:val="48"/>
              <w:keepNext w:val="0"/>
              <w:keepLines w:val="0"/>
              <w:widowControl/>
              <w:numPr>
                <w:ilvl w:val="0"/>
                <w:numId w:val="0"/>
              </w:numPr>
              <w:suppressLineNumbers w:val="0"/>
              <w:spacing w:before="0" w:beforeLines="0" w:beforeAutospacing="0" w:after="0" w:afterLines="0" w:afterAutospacing="0"/>
              <w:ind w:left="0" w:right="0"/>
              <w:rPr>
                <w:rFonts w:hint="eastAsia" w:ascii="宋体" w:hAnsi="宋体" w:eastAsia="宋体" w:cs="宋体"/>
                <w:color w:val="auto"/>
              </w:rPr>
            </w:pPr>
            <w:r>
              <w:rPr>
                <w:rFonts w:hint="eastAsia" w:ascii="宋体" w:hAnsi="宋体" w:eastAsia="宋体" w:cs="宋体"/>
                <w:color w:val="auto"/>
              </w:rPr>
              <w:t>产品的抗扰度要求符合G</w:t>
            </w:r>
            <w:r>
              <w:rPr>
                <w:rFonts w:hint="default" w:ascii="宋体" w:hAnsi="宋体" w:eastAsia="宋体" w:cs="宋体"/>
                <w:color w:val="auto"/>
              </w:rPr>
              <w:t>B/T 17618</w:t>
            </w:r>
            <w:r>
              <w:rPr>
                <w:rFonts w:hint="eastAsia" w:ascii="宋体" w:hAnsi="宋体" w:eastAsia="宋体" w:cs="宋体"/>
                <w:color w:val="auto"/>
              </w:rPr>
              <w:t>的有关规定</w:t>
            </w:r>
          </w:p>
        </w:tc>
        <w:tc>
          <w:tcPr>
            <w:tcW w:w="2978" w:type="dxa"/>
            <w:vAlign w:val="top"/>
          </w:tcPr>
          <w:p>
            <w:pPr>
              <w:pStyle w:val="25"/>
              <w:keepNext w:val="0"/>
              <w:keepLines w:val="0"/>
              <w:widowControl/>
              <w:suppressLineNumbers w:val="0"/>
              <w:spacing w:before="0" w:beforeAutospacing="0" w:after="0" w:afterAutospacing="0"/>
              <w:ind w:left="0" w:right="0" w:firstLine="0" w:firstLineChars="0"/>
              <w:rPr>
                <w:rFonts w:hint="eastAsia" w:hAnsi="宋体" w:cs="宋体"/>
                <w:color w:val="auto"/>
                <w:szCs w:val="20"/>
              </w:rPr>
            </w:pPr>
            <w:r>
              <w:rPr>
                <w:rFonts w:hint="eastAsia" w:hAnsi="宋体" w:cs="宋体"/>
                <w:color w:val="auto"/>
                <w:szCs w:val="20"/>
              </w:rPr>
              <w:t>提供测试报告或证书</w:t>
            </w:r>
          </w:p>
        </w:tc>
      </w:tr>
    </w:tbl>
    <w:p>
      <w:pPr>
        <w:pStyle w:val="25"/>
        <w:jc w:val="center"/>
        <w:rPr>
          <w:rFonts w:hint="eastAsia" w:ascii="黑体" w:hAnsi="黑体" w:eastAsia="黑体" w:cs="黑体"/>
          <w:color w:val="auto"/>
        </w:rPr>
      </w:pPr>
    </w:p>
    <w:p>
      <w:pPr>
        <w:pStyle w:val="106"/>
        <w:spacing w:before="286" w:after="286"/>
        <w:ind w:left="0"/>
        <w:rPr>
          <w:color w:val="auto"/>
        </w:rPr>
      </w:pPr>
      <w:bookmarkStart w:id="68" w:name="_Toc502851831"/>
      <w:bookmarkStart w:id="69" w:name="_Toc503801778"/>
      <w:bookmarkStart w:id="70" w:name="_Toc502851832"/>
      <w:r>
        <w:rPr>
          <w:rFonts w:hint="eastAsia"/>
          <w:color w:val="auto"/>
        </w:rPr>
        <w:t>产品生命周期评价报告</w:t>
      </w:r>
      <w:bookmarkEnd w:id="68"/>
      <w:r>
        <w:rPr>
          <w:rFonts w:hint="eastAsia"/>
          <w:color w:val="auto"/>
        </w:rPr>
        <w:t>编制方法</w:t>
      </w:r>
      <w:bookmarkEnd w:id="69"/>
    </w:p>
    <w:p>
      <w:pPr>
        <w:pStyle w:val="49"/>
        <w:spacing w:before="143" w:after="143"/>
        <w:rPr>
          <w:color w:val="auto"/>
        </w:rPr>
      </w:pPr>
      <w:bookmarkStart w:id="71" w:name="_Toc503801779"/>
      <w:r>
        <w:rPr>
          <w:color w:val="auto"/>
        </w:rPr>
        <w:t>编制方法</w:t>
      </w:r>
      <w:bookmarkEnd w:id="70"/>
      <w:bookmarkEnd w:id="71"/>
    </w:p>
    <w:p>
      <w:pPr>
        <w:pStyle w:val="25"/>
        <w:rPr>
          <w:color w:val="auto"/>
        </w:rPr>
      </w:pPr>
      <w:r>
        <w:rPr>
          <w:rFonts w:hint="eastAsia"/>
          <w:color w:val="auto"/>
        </w:rPr>
        <w:t>依据GB/T 24040、GB/T 24044、GB/T 32161给出的生命周期评价方法学框架及总体要求，并参照GB/T 34664附录A及附录B的示例，编制产品生命周期评价报告。</w:t>
      </w:r>
    </w:p>
    <w:p>
      <w:pPr>
        <w:pStyle w:val="49"/>
        <w:spacing w:before="143" w:after="143"/>
        <w:rPr>
          <w:color w:val="auto"/>
        </w:rPr>
      </w:pPr>
      <w:bookmarkStart w:id="72" w:name="_Toc502851833"/>
      <w:bookmarkStart w:id="73" w:name="_Toc503801780"/>
      <w:r>
        <w:rPr>
          <w:rFonts w:hint="eastAsia"/>
          <w:color w:val="auto"/>
        </w:rPr>
        <w:t>报告内容</w:t>
      </w:r>
      <w:bookmarkEnd w:id="72"/>
      <w:bookmarkEnd w:id="73"/>
    </w:p>
    <w:p>
      <w:pPr>
        <w:pStyle w:val="48"/>
        <w:spacing w:before="143" w:after="143"/>
        <w:rPr>
          <w:color w:val="auto"/>
        </w:rPr>
      </w:pPr>
      <w:r>
        <w:rPr>
          <w:color w:val="auto"/>
        </w:rPr>
        <w:t>基本信息</w:t>
      </w:r>
    </w:p>
    <w:p>
      <w:pPr>
        <w:pStyle w:val="25"/>
        <w:rPr>
          <w:color w:val="auto"/>
        </w:rPr>
      </w:pPr>
      <w:r>
        <w:rPr>
          <w:rFonts w:hint="eastAsia"/>
          <w:color w:val="auto"/>
        </w:rPr>
        <w:t>报告应提供报告信息、申请者信息、评估对象信息、采用的标准信息等基本信息，其中报告信息包 括报告编号、编制人员、审核人员、发布日期等，申请者信息包括公司全称、组织机构代码、地址、联 系人、联系方式等。</w:t>
      </w:r>
    </w:p>
    <w:p>
      <w:pPr>
        <w:pStyle w:val="25"/>
        <w:rPr>
          <w:rFonts w:hint="eastAsia"/>
          <w:color w:val="auto"/>
        </w:rPr>
      </w:pPr>
      <w:r>
        <w:rPr>
          <w:rFonts w:hint="eastAsia"/>
          <w:color w:val="auto"/>
        </w:rPr>
        <w:t>在报告中应提供产品的主要技术参数和</w:t>
      </w:r>
    </w:p>
    <w:p>
      <w:pPr>
        <w:pStyle w:val="25"/>
        <w:rPr>
          <w:color w:val="auto"/>
        </w:rPr>
      </w:pPr>
      <w:r>
        <w:rPr>
          <w:rFonts w:hint="eastAsia"/>
          <w:color w:val="auto"/>
        </w:rPr>
        <w:t xml:space="preserve">功能，包括：物理形态、生产厂家、使用范围等。产品重量、 包装的大小和材质也应在生命周期评价报告中阐明。 </w:t>
      </w:r>
    </w:p>
    <w:p>
      <w:pPr>
        <w:pStyle w:val="48"/>
        <w:spacing w:before="143" w:after="143"/>
        <w:rPr>
          <w:color w:val="auto"/>
        </w:rPr>
      </w:pPr>
      <w:r>
        <w:rPr>
          <w:rFonts w:hint="eastAsia"/>
          <w:color w:val="auto"/>
        </w:rPr>
        <w:t xml:space="preserve">产品生命周期评价 </w:t>
      </w:r>
    </w:p>
    <w:p>
      <w:pPr>
        <w:pStyle w:val="25"/>
        <w:ind w:firstLine="0" w:firstLineChars="0"/>
        <w:rPr>
          <w:rFonts w:hint="eastAsia" w:ascii="黑体" w:hAnsi="黑体" w:eastAsia="黑体"/>
          <w:color w:val="auto"/>
        </w:rPr>
      </w:pPr>
      <w:r>
        <w:rPr>
          <w:rFonts w:hint="eastAsia" w:ascii="黑体" w:hAnsi="黑体" w:eastAsia="黑体"/>
          <w:color w:val="auto"/>
        </w:rPr>
        <w:t xml:space="preserve">6.2.3.1 评价对象及工具 </w:t>
      </w:r>
    </w:p>
    <w:p>
      <w:pPr>
        <w:pStyle w:val="25"/>
        <w:rPr>
          <w:color w:val="auto"/>
        </w:rPr>
      </w:pPr>
      <w:r>
        <w:rPr>
          <w:rFonts w:hint="eastAsia"/>
          <w:color w:val="auto"/>
        </w:rPr>
        <w:t>报告中应详细描述评估的对象、功能单位和产品主要功能，提供产品的材料构成及主要技术参数表， 绘制并说明产品的系统边界，披露所使用的基于中国生命周期数据库的软件工具。</w:t>
      </w:r>
    </w:p>
    <w:p>
      <w:pPr>
        <w:pStyle w:val="25"/>
        <w:rPr>
          <w:rFonts w:hint="eastAsia"/>
          <w:color w:val="auto"/>
        </w:rPr>
      </w:pPr>
      <w:r>
        <w:rPr>
          <w:rFonts w:hint="eastAsia"/>
          <w:color w:val="auto"/>
        </w:rPr>
        <w:t>本标准的功能单位表示为，如</w:t>
      </w:r>
      <w:r>
        <w:rPr>
          <w:rFonts w:hint="eastAsia"/>
          <w:color w:val="auto"/>
          <w:szCs w:val="22"/>
        </w:rPr>
        <w:t>：“1台信息设备用不间断电源”。同</w:t>
      </w:r>
      <w:r>
        <w:rPr>
          <w:rFonts w:hint="eastAsia"/>
          <w:color w:val="auto"/>
        </w:rPr>
        <w:t>时考虑具体功能、使用寿命、是否包括包装材料等。功能单位必须是明确规定并且可测量的。</w:t>
      </w:r>
    </w:p>
    <w:p>
      <w:pPr>
        <w:pStyle w:val="25"/>
        <w:ind w:firstLine="0" w:firstLineChars="0"/>
        <w:rPr>
          <w:rFonts w:hint="eastAsia" w:ascii="黑体" w:hAnsi="黑体" w:eastAsia="黑体"/>
          <w:color w:val="auto"/>
          <w:szCs w:val="22"/>
        </w:rPr>
      </w:pPr>
      <w:r>
        <w:rPr>
          <w:rFonts w:hint="eastAsia" w:ascii="黑体" w:hAnsi="黑体" w:eastAsia="黑体"/>
          <w:color w:val="auto"/>
          <w:szCs w:val="22"/>
        </w:rPr>
        <w:t>6.2.3.2 生命周期清单分析</w:t>
      </w:r>
    </w:p>
    <w:p>
      <w:pPr>
        <w:pStyle w:val="25"/>
        <w:rPr>
          <w:color w:val="auto"/>
        </w:rPr>
      </w:pPr>
      <w:r>
        <w:rPr>
          <w:rFonts w:hint="eastAsia"/>
          <w:color w:val="auto"/>
        </w:rPr>
        <w:t xml:space="preserve">报告中应提供考虑的生命周期阶段，说明每个阶段所考虑的清单因子及收集到的现场数据或背景数 据，涉及到数据分配的情况应说明分配方法和结果。 </w:t>
      </w:r>
    </w:p>
    <w:p>
      <w:pPr>
        <w:pStyle w:val="25"/>
        <w:ind w:firstLine="0" w:firstLineChars="0"/>
        <w:rPr>
          <w:color w:val="auto"/>
        </w:rPr>
      </w:pPr>
      <w:r>
        <w:rPr>
          <w:rFonts w:hint="eastAsia" w:ascii="黑体" w:hAnsi="黑体" w:eastAsia="黑体"/>
          <w:color w:val="auto"/>
        </w:rPr>
        <w:t>6.2.3.3 生命周期影响评价</w:t>
      </w:r>
      <w:r>
        <w:rPr>
          <w:rFonts w:hint="eastAsia"/>
          <w:color w:val="auto"/>
        </w:rPr>
        <w:t xml:space="preserve"> </w:t>
      </w:r>
    </w:p>
    <w:p>
      <w:pPr>
        <w:pStyle w:val="25"/>
        <w:rPr>
          <w:color w:val="auto"/>
        </w:rPr>
      </w:pPr>
      <w:r>
        <w:rPr>
          <w:rFonts w:hint="eastAsia"/>
          <w:color w:val="auto"/>
        </w:rPr>
        <w:t>报告中应提供产品生命周期各阶段的不同影响类型的特征化值，并对不同影响类型在各生命周期阶段的分布情况进行比较分析。</w:t>
      </w:r>
    </w:p>
    <w:p>
      <w:pPr>
        <w:pStyle w:val="25"/>
        <w:ind w:firstLine="0" w:firstLineChars="0"/>
        <w:rPr>
          <w:rFonts w:ascii="黑体" w:hAnsi="黑体" w:eastAsia="黑体"/>
          <w:color w:val="auto"/>
        </w:rPr>
      </w:pPr>
      <w:r>
        <w:rPr>
          <w:rFonts w:hint="eastAsia" w:ascii="黑体" w:hAnsi="黑体" w:eastAsia="黑体"/>
          <w:color w:val="auto"/>
        </w:rPr>
        <w:t xml:space="preserve">6.2.3.4 绿色设计改进方案 </w:t>
      </w:r>
    </w:p>
    <w:p>
      <w:pPr>
        <w:pStyle w:val="25"/>
        <w:rPr>
          <w:color w:val="auto"/>
        </w:rPr>
      </w:pPr>
      <w:r>
        <w:rPr>
          <w:rFonts w:hint="eastAsia"/>
          <w:color w:val="auto"/>
        </w:rPr>
        <w:t xml:space="preserve">在分析指标的符合性评价结果以及生命周期评价结果的基础上，提出产品绿色设计改进的具体方案。 </w:t>
      </w:r>
    </w:p>
    <w:p>
      <w:pPr>
        <w:pStyle w:val="25"/>
        <w:ind w:firstLine="0" w:firstLineChars="0"/>
        <w:rPr>
          <w:color w:val="auto"/>
        </w:rPr>
      </w:pPr>
      <w:r>
        <w:rPr>
          <w:rFonts w:hint="eastAsia" w:ascii="黑体" w:hAnsi="黑体" w:eastAsia="黑体"/>
          <w:color w:val="auto"/>
        </w:rPr>
        <w:t>6.2.3.5 评价报告主要结论</w:t>
      </w:r>
      <w:r>
        <w:rPr>
          <w:rFonts w:hint="eastAsia"/>
          <w:color w:val="auto"/>
        </w:rPr>
        <w:t xml:space="preserve"> </w:t>
      </w:r>
    </w:p>
    <w:p>
      <w:pPr>
        <w:pStyle w:val="25"/>
        <w:rPr>
          <w:color w:val="auto"/>
        </w:rPr>
      </w:pPr>
      <w:r>
        <w:rPr>
          <w:rFonts w:hint="eastAsia"/>
          <w:color w:val="auto"/>
        </w:rPr>
        <w:t>应说明该产品对评价指标的符合性结论、生命周期评价结果、提出的改进方案，并根据评价结论初步判断该产品是否为绿色设计产品。</w:t>
      </w:r>
    </w:p>
    <w:p>
      <w:pPr>
        <w:pStyle w:val="25"/>
        <w:ind w:firstLine="0" w:firstLineChars="0"/>
        <w:rPr>
          <w:rFonts w:hint="eastAsia" w:ascii="黑体" w:hAnsi="黑体" w:eastAsia="黑体"/>
          <w:color w:val="auto"/>
        </w:rPr>
      </w:pPr>
      <w:r>
        <w:rPr>
          <w:rFonts w:hint="eastAsia" w:ascii="黑体" w:hAnsi="黑体" w:eastAsia="黑体"/>
          <w:color w:val="auto"/>
        </w:rPr>
        <w:t xml:space="preserve">6.2.3.6 附件 </w:t>
      </w:r>
    </w:p>
    <w:p>
      <w:pPr>
        <w:pStyle w:val="25"/>
        <w:rPr>
          <w:color w:val="auto"/>
        </w:rPr>
      </w:pPr>
      <w:r>
        <w:rPr>
          <w:rFonts w:hint="eastAsia"/>
          <w:color w:val="auto"/>
        </w:rPr>
        <w:t>报告应在附件中提供：</w:t>
      </w:r>
    </w:p>
    <w:p>
      <w:pPr>
        <w:pStyle w:val="25"/>
        <w:rPr>
          <w:color w:val="auto"/>
        </w:rPr>
      </w:pPr>
      <w:r>
        <w:rPr>
          <w:rFonts w:hint="eastAsia"/>
          <w:color w:val="auto"/>
        </w:rPr>
        <w:t>a）产品原始包装图；</w:t>
      </w:r>
    </w:p>
    <w:p>
      <w:pPr>
        <w:pStyle w:val="25"/>
        <w:rPr>
          <w:color w:val="auto"/>
        </w:rPr>
      </w:pPr>
      <w:r>
        <w:rPr>
          <w:rFonts w:hint="eastAsia"/>
          <w:color w:val="auto"/>
        </w:rPr>
        <w:t>b）产品生产材料清单；</w:t>
      </w:r>
    </w:p>
    <w:p>
      <w:pPr>
        <w:pStyle w:val="25"/>
        <w:rPr>
          <w:color w:val="auto"/>
        </w:rPr>
      </w:pPr>
      <w:r>
        <w:rPr>
          <w:rFonts w:hint="eastAsia"/>
          <w:color w:val="auto"/>
        </w:rPr>
        <w:t>c）产品工艺表（产品生产工艺过程示意图等）；</w:t>
      </w:r>
    </w:p>
    <w:p>
      <w:pPr>
        <w:pStyle w:val="25"/>
        <w:rPr>
          <w:color w:val="auto"/>
        </w:rPr>
      </w:pPr>
      <w:r>
        <w:rPr>
          <w:rFonts w:hint="eastAsia"/>
          <w:color w:val="auto"/>
        </w:rPr>
        <w:t>d）各单元过程的数据收集表；</w:t>
      </w:r>
    </w:p>
    <w:p>
      <w:pPr>
        <w:pStyle w:val="25"/>
        <w:rPr>
          <w:rFonts w:hint="eastAsia"/>
          <w:color w:val="auto"/>
        </w:rPr>
      </w:pPr>
      <w:r>
        <w:rPr>
          <w:rFonts w:hint="eastAsia"/>
          <w:color w:val="auto"/>
        </w:rPr>
        <w:t>e）其他。</w:t>
      </w:r>
    </w:p>
    <w:p>
      <w:pPr>
        <w:pStyle w:val="25"/>
        <w:spacing w:line="360" w:lineRule="auto"/>
        <w:jc w:val="center"/>
        <w:rPr>
          <w:rFonts w:hint="eastAsia"/>
          <w:color w:val="auto"/>
        </w:rPr>
      </w:pPr>
      <w:r>
        <w:rPr>
          <w:rFonts w:hint="eastAsia"/>
          <w:color w:val="auto"/>
        </w:rPr>
        <w:t xml:space="preserve"> </w:t>
      </w:r>
    </w:p>
    <w:p>
      <w:pPr>
        <w:pStyle w:val="25"/>
        <w:rPr>
          <w:rFonts w:hint="eastAsia"/>
          <w:color w:val="auto"/>
        </w:rPr>
      </w:pPr>
      <w:r>
        <w:rPr>
          <w:rFonts w:hint="eastAsia"/>
          <w:color w:val="auto"/>
        </w:rPr>
        <mc:AlternateContent>
          <mc:Choice Requires="wps">
            <w:drawing>
              <wp:anchor distT="0" distB="0" distL="114300" distR="114300" simplePos="0" relativeHeight="251661312" behindDoc="0" locked="0" layoutInCell="1" allowOverlap="1">
                <wp:simplePos x="0" y="0"/>
                <wp:positionH relativeFrom="column">
                  <wp:posOffset>1673225</wp:posOffset>
                </wp:positionH>
                <wp:positionV relativeFrom="paragraph">
                  <wp:posOffset>1772285</wp:posOffset>
                </wp:positionV>
                <wp:extent cx="1889760" cy="0"/>
                <wp:effectExtent l="0" t="0" r="0" b="0"/>
                <wp:wrapNone/>
                <wp:docPr id="4" name="直线 173"/>
                <wp:cNvGraphicFramePr/>
                <a:graphic xmlns:a="http://schemas.openxmlformats.org/drawingml/2006/main">
                  <a:graphicData uri="http://schemas.microsoft.com/office/word/2010/wordprocessingShape">
                    <wps:wsp>
                      <wps:cNvCnPr/>
                      <wps:spPr>
                        <a:xfrm>
                          <a:off x="0" y="0"/>
                          <a:ext cx="1889760" cy="0"/>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173" o:spid="_x0000_s1026" o:spt="20" style="position:absolute;left:0pt;margin-left:131.75pt;margin-top:139.55pt;height:0pt;width:148.8pt;z-index:251661312;mso-width-relative:page;mso-height-relative:page;" filled="f" stroked="t" coordsize="21600,21600" o:gfxdata="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6OfpdcAAAALAQAADwAAAAAAAAABACAAAAAiAAAA&#10;ZHJzL2Rvd25yZXYueG1sUEsBAhQAFAAAAAgAh07iQAuoT8bPAQAAkAMAAA4AAAAAAAAAAQAgAAAA&#10;JgEAAGRycy9lMm9Eb2MueG1sUEsFBgAAAAAGAAYAWQEAAGcFAAAAAA==&#10;">
                <v:fill on="f" focussize="0,0"/>
                <v:stroke weight="1.5pt" color="#000000" joinstyle="round"/>
                <v:imagedata o:title=""/>
                <o:lock v:ext="edit" aspectratio="f"/>
              </v:line>
            </w:pict>
          </mc:Fallback>
        </mc:AlternateContent>
      </w:r>
    </w:p>
    <w:sectPr>
      <w:headerReference r:id="rId17" w:type="first"/>
      <w:headerReference r:id="rId15" w:type="default"/>
      <w:headerReference r:id="rId16" w:type="even"/>
      <w:footerReference r:id="rId18" w:type="even"/>
      <w:pgSz w:w="11906" w:h="16838"/>
      <w:pgMar w:top="721" w:right="1134" w:bottom="1134" w:left="1418" w:header="1418" w:footer="1134" w:gutter="0"/>
      <w:pgNumType w:start="1"/>
      <w:cols w:space="720" w:num="1"/>
      <w:formProt w:val="0"/>
      <w:docGrid w:type="lines" w:linePitch="286"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EUAlbertina">
    <w:altName w:val="仿宋"/>
    <w:panose1 w:val="00000000000000000000"/>
    <w:charset w:val="86"/>
    <w:family w:val="swiss"/>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beforeLines="50" w:line="360" w:lineRule="auto"/>
    </w:pPr>
    <w:r>
      <w:rPr>
        <w:rFonts w:hint="eastAsia"/>
      </w:rPr>
      <w:t>Ⅱ</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3"/>
      <w:rPr>
        <w:rFonts w:hAnsi="宋体" w:cs="宋体"/>
      </w:rPr>
    </w:pPr>
    <w:r>
      <w:rPr>
        <w:rFonts w:hint="eastAsia" w:hAnsi="宋体" w:cs="宋体"/>
      </w:rPr>
      <w:t>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beforeLines="50" w:line="360" w:lineRule="auto"/>
      <w:rPr>
        <w:rFonts w:ascii="宋体" w:hAnsi="宋体"/>
        <w:sz w:val="21"/>
        <w:szCs w:val="21"/>
      </w:rPr>
    </w:pPr>
    <w:r>
      <w:rPr>
        <w:rFonts w:ascii="宋体" w:hAnsi="宋体"/>
        <w:sz w:val="21"/>
        <w:szCs w:val="21"/>
      </w:rPr>
      <w:fldChar w:fldCharType="begin"/>
    </w:r>
    <w:r>
      <w:rPr>
        <w:rFonts w:ascii="宋体" w:hAnsi="宋体"/>
        <w:sz w:val="21"/>
        <w:szCs w:val="21"/>
      </w:rPr>
      <w:instrText xml:space="preserve"> PAGE   \* MERGEFORMAT </w:instrText>
    </w:r>
    <w:r>
      <w:rPr>
        <w:rFonts w:ascii="宋体" w:hAnsi="宋体"/>
        <w:sz w:val="21"/>
        <w:szCs w:val="21"/>
      </w:rPr>
      <w:fldChar w:fldCharType="separate"/>
    </w:r>
    <w:r>
      <w:rPr>
        <w:rFonts w:ascii="宋体" w:hAnsi="宋体"/>
        <w:sz w:val="21"/>
        <w:szCs w:val="21"/>
        <w:lang w:val="zh-CN"/>
      </w:rPr>
      <w:t>5</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spacing w:before="120" w:beforeLines="50" w:line="360" w:lineRule="auto"/>
      <w:jc w:val="left"/>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6</w:t>
    </w:r>
    <w:r>
      <w:rPr>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w:rPr>
        <w:rFonts w:eastAsia="华文新魏"/>
        <w:sz w:val="21"/>
        <w:szCs w:val="21"/>
        <w:lang w:bidi="ar"/>
      </w:rPr>
      <w:t>T/CESA 1017-2018</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line="360" w:lineRule="auto"/>
      <w:rPr>
        <w:rFonts w:hint="eastAsia" w:eastAsia="华文新魏"/>
      </w:rPr>
    </w:pPr>
    <w:r>
      <w:rPr>
        <w:rFonts w:eastAsia="华文新魏"/>
        <w:sz w:val="21"/>
        <w:szCs w:val="21"/>
        <w:lang w:bidi="ar"/>
      </w:rPr>
      <w:t xml:space="preserve">T/CESA </w:t>
    </w:r>
    <w:r>
      <w:rPr>
        <w:rFonts w:hint="eastAsia" w:eastAsia="华文新魏"/>
        <w:sz w:val="21"/>
        <w:szCs w:val="21"/>
        <w:lang w:bidi="ar"/>
      </w:rPr>
      <w:t>XXXX</w:t>
    </w:r>
    <w:r>
      <w:rPr>
        <w:rFonts w:eastAsia="华文新魏"/>
        <w:sz w:val="21"/>
        <w:szCs w:val="21"/>
        <w:lang w:bidi="ar"/>
      </w:rPr>
      <w:t>-201</w:t>
    </w:r>
    <w:r>
      <w:rPr>
        <w:rFonts w:hint="eastAsia" w:eastAsia="华文新魏"/>
        <w:sz w:val="21"/>
        <w:szCs w:val="21"/>
        <w:lang w:bidi="ar"/>
      </w:rPr>
      <w:t>X</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0"/>
    </w:pPr>
    <w:r>
      <w:rPr>
        <w:rFonts w:ascii="Times New Roman" w:eastAsia="华文新魏"/>
        <w:kern w:val="2"/>
        <w:lang w:bidi="ar"/>
      </w:rPr>
      <w:t xml:space="preserve">T/CESA </w:t>
    </w:r>
    <w:r>
      <w:rPr>
        <w:rFonts w:hint="eastAsia" w:ascii="Times New Roman" w:eastAsia="华文新魏"/>
        <w:kern w:val="2"/>
        <w:lang w:bidi="ar"/>
      </w:rPr>
      <w:t>XXXX</w:t>
    </w:r>
    <w:r>
      <w:rPr>
        <w:rFonts w:ascii="Times New Roman" w:eastAsia="华文新魏"/>
        <w:kern w:val="2"/>
        <w:lang w:bidi="ar"/>
      </w:rPr>
      <w:t>-201</w:t>
    </w:r>
    <w:r>
      <w:rPr>
        <w:rFonts w:hint="eastAsia" w:ascii="Times New Roman" w:eastAsia="华文新魏"/>
        <w:kern w:val="2"/>
        <w:lang w:bidi="ar"/>
      </w:rPr>
      <w:t>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line="360" w:lineRule="auto"/>
      <w:jc w:val="right"/>
    </w:pPr>
    <w:r>
      <w:rPr>
        <w:rFonts w:eastAsia="华文新魏"/>
        <w:sz w:val="21"/>
        <w:szCs w:val="21"/>
        <w:lang w:bidi="ar"/>
      </w:rPr>
      <w:t>T/CESA 1017-2018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spacing w:line="360" w:lineRule="auto"/>
      <w:jc w:val="right"/>
      <w:rPr>
        <w:rFonts w:hint="eastAsia" w:eastAsia="华文新魏"/>
      </w:rPr>
    </w:pPr>
    <w:r>
      <w:rPr>
        <w:rFonts w:eastAsia="华文新魏"/>
        <w:sz w:val="21"/>
        <w:szCs w:val="21"/>
        <w:lang w:bidi="ar"/>
      </w:rPr>
      <w:t xml:space="preserve">T/CESA </w:t>
    </w:r>
    <w:r>
      <w:rPr>
        <w:rFonts w:hint="eastAsia" w:eastAsia="华文新魏"/>
        <w:sz w:val="21"/>
        <w:szCs w:val="21"/>
        <w:lang w:bidi="ar"/>
      </w:rPr>
      <w:t>XXXX</w:t>
    </w:r>
    <w:r>
      <w:rPr>
        <w:rFonts w:eastAsia="华文新魏"/>
        <w:sz w:val="21"/>
        <w:szCs w:val="21"/>
        <w:lang w:bidi="ar"/>
      </w:rPr>
      <w:t>-201</w:t>
    </w:r>
    <w:r>
      <w:rPr>
        <w:rFonts w:hint="eastAsia" w:eastAsia="华文新魏"/>
        <w:sz w:val="21"/>
        <w:szCs w:val="21"/>
        <w:lang w:bidi="ar"/>
      </w:rPr>
      <w:t>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wordWrap w:val="0"/>
      <w:spacing w:line="360" w:lineRule="auto"/>
      <w:jc w:val="right"/>
      <w:rPr>
        <w:rFonts w:hint="eastAsia" w:eastAsia="华文新魏"/>
      </w:rPr>
    </w:pPr>
    <w:r>
      <w:rPr>
        <w:rFonts w:eastAsia="华文新魏"/>
        <w:sz w:val="21"/>
        <w:szCs w:val="21"/>
        <w:lang w:bidi="ar"/>
      </w:rPr>
      <w:t>T/CESA</w:t>
    </w:r>
    <w:r>
      <w:rPr>
        <w:rFonts w:hint="eastAsia" w:eastAsia="华文新魏"/>
        <w:sz w:val="21"/>
        <w:szCs w:val="21"/>
        <w:lang w:bidi="ar"/>
      </w:rPr>
      <w:t xml:space="preserve"> XXXX-201X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7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AE367E9"/>
    <w:multiLevelType w:val="multilevel"/>
    <w:tmpl w:val="0AE367E9"/>
    <w:lvl w:ilvl="0" w:tentative="0">
      <w:start w:val="1"/>
      <w:numFmt w:val="none"/>
      <w:pStyle w:val="14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2">
    <w:nsid w:val="0D983844"/>
    <w:multiLevelType w:val="multilevel"/>
    <w:tmpl w:val="0D983844"/>
    <w:lvl w:ilvl="0" w:tentative="0">
      <w:start w:val="1"/>
      <w:numFmt w:val="decimal"/>
      <w:pStyle w:val="8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0DDF5B0D"/>
    <w:multiLevelType w:val="multilevel"/>
    <w:tmpl w:val="0DDF5B0D"/>
    <w:lvl w:ilvl="0" w:tentative="0">
      <w:start w:val="1"/>
      <w:numFmt w:val="lowerLetter"/>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1DBF583A"/>
    <w:multiLevelType w:val="multilevel"/>
    <w:tmpl w:val="1DBF583A"/>
    <w:lvl w:ilvl="0" w:tentative="0">
      <w:start w:val="1"/>
      <w:numFmt w:val="decimal"/>
      <w:pStyle w:val="13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106"/>
      <w:suff w:val="nothing"/>
      <w:lvlText w:val="%1　"/>
      <w:lvlJc w:val="left"/>
      <w:pPr>
        <w:ind w:left="426" w:firstLine="0"/>
      </w:pPr>
      <w:rPr>
        <w:rFonts w:hint="eastAsia" w:ascii="黑体" w:hAnsi="Times New Roman" w:eastAsia="黑体"/>
        <w:b w:val="0"/>
        <w:i w:val="0"/>
        <w:sz w:val="21"/>
        <w:szCs w:val="21"/>
      </w:rPr>
    </w:lvl>
    <w:lvl w:ilvl="1" w:tentative="0">
      <w:start w:val="1"/>
      <w:numFmt w:val="decimal"/>
      <w:pStyle w:val="49"/>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76"/>
      <w:suff w:val="nothing"/>
      <w:lvlText w:val="%1.%2.%3.%4.%5　"/>
      <w:lvlJc w:val="left"/>
      <w:pPr>
        <w:ind w:left="0" w:firstLine="0"/>
      </w:pPr>
      <w:rPr>
        <w:rFonts w:hint="eastAsia" w:ascii="黑体" w:hAnsi="Times New Roman" w:eastAsia="黑体"/>
        <w:b w:val="0"/>
        <w:i w:val="0"/>
        <w:sz w:val="21"/>
      </w:rPr>
    </w:lvl>
    <w:lvl w:ilvl="5" w:tentative="0">
      <w:start w:val="1"/>
      <w:numFmt w:val="decimal"/>
      <w:pStyle w:val="86"/>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2827D5B"/>
    <w:multiLevelType w:val="multilevel"/>
    <w:tmpl w:val="22827D5B"/>
    <w:lvl w:ilvl="0" w:tentative="0">
      <w:start w:val="1"/>
      <w:numFmt w:val="none"/>
      <w:pStyle w:val="125"/>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7">
    <w:nsid w:val="2A8F7113"/>
    <w:multiLevelType w:val="multilevel"/>
    <w:tmpl w:val="2A8F7113"/>
    <w:lvl w:ilvl="0" w:tentative="0">
      <w:start w:val="1"/>
      <w:numFmt w:val="upperLetter"/>
      <w:pStyle w:val="50"/>
      <w:suff w:val="space"/>
      <w:lvlText w:val="%1"/>
      <w:lvlJc w:val="left"/>
      <w:pPr>
        <w:ind w:left="623" w:hanging="425"/>
      </w:pPr>
      <w:rPr>
        <w:rFonts w:hint="eastAsia"/>
      </w:rPr>
    </w:lvl>
    <w:lvl w:ilvl="1" w:tentative="0">
      <w:start w:val="1"/>
      <w:numFmt w:val="decimal"/>
      <w:pStyle w:val="128"/>
      <w:suff w:val="nothing"/>
      <w:lvlText w:val="图%1.%2　"/>
      <w:lvlJc w:val="left"/>
      <w:pPr>
        <w:ind w:left="2694"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tentative="0">
      <w:start w:val="1"/>
      <w:numFmt w:val="none"/>
      <w:pStyle w:val="101"/>
      <w:suff w:val="nothing"/>
      <w:lvlText w:val="%1——"/>
      <w:lvlJc w:val="left"/>
      <w:pPr>
        <w:ind w:left="833" w:hanging="408"/>
      </w:pPr>
      <w:rPr>
        <w:rFonts w:hint="eastAsia"/>
      </w:rPr>
    </w:lvl>
    <w:lvl w:ilvl="1" w:tentative="0">
      <w:start w:val="1"/>
      <w:numFmt w:val="bullet"/>
      <w:pStyle w:val="62"/>
      <w:lvlText w:val=""/>
      <w:lvlJc w:val="left"/>
      <w:pPr>
        <w:tabs>
          <w:tab w:val="left" w:pos="760"/>
        </w:tabs>
        <w:ind w:left="1264" w:hanging="413"/>
      </w:pPr>
      <w:rPr>
        <w:rFonts w:hint="default" w:ascii="Symbol" w:hAnsi="Symbol"/>
        <w:color w:val="auto"/>
      </w:rPr>
    </w:lvl>
    <w:lvl w:ilvl="2" w:tentative="0">
      <w:start w:val="1"/>
      <w:numFmt w:val="bullet"/>
      <w:pStyle w:val="114"/>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9">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0">
    <w:nsid w:val="48F35D7A"/>
    <w:multiLevelType w:val="multilevel"/>
    <w:tmpl w:val="48F35D7A"/>
    <w:lvl w:ilvl="0" w:tentative="0">
      <w:start w:val="1"/>
      <w:numFmt w:val="lowerLetter"/>
      <w:pStyle w:val="10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32"/>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1">
    <w:nsid w:val="4B733A5F"/>
    <w:multiLevelType w:val="multilevel"/>
    <w:tmpl w:val="4B733A5F"/>
    <w:lvl w:ilvl="0" w:tentative="0">
      <w:start w:val="1"/>
      <w:numFmt w:val="decimal"/>
      <w:pStyle w:val="10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60B55DC2"/>
    <w:multiLevelType w:val="multilevel"/>
    <w:tmpl w:val="60B55DC2"/>
    <w:lvl w:ilvl="0" w:tentative="0">
      <w:start w:val="1"/>
      <w:numFmt w:val="upperLetter"/>
      <w:pStyle w:val="134"/>
      <w:lvlText w:val="%1"/>
      <w:lvlJc w:val="left"/>
      <w:pPr>
        <w:tabs>
          <w:tab w:val="left" w:pos="0"/>
        </w:tabs>
        <w:ind w:left="0" w:hanging="425"/>
      </w:pPr>
      <w:rPr>
        <w:rFonts w:hint="eastAsia"/>
      </w:rPr>
    </w:lvl>
    <w:lvl w:ilvl="1" w:tentative="0">
      <w:start w:val="1"/>
      <w:numFmt w:val="decimal"/>
      <w:pStyle w:val="124"/>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1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10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9"/>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8"/>
      <w:suff w:val="nothing"/>
      <w:lvlText w:val="%1.%2.%3　"/>
      <w:lvlJc w:val="left"/>
      <w:pPr>
        <w:ind w:left="0" w:firstLine="0"/>
      </w:pPr>
      <w:rPr>
        <w:rFonts w:hint="eastAsia" w:ascii="黑体" w:hAnsi="Times New Roman" w:eastAsia="黑体"/>
        <w:b w:val="0"/>
        <w:i w:val="0"/>
        <w:sz w:val="21"/>
      </w:rPr>
    </w:lvl>
    <w:lvl w:ilvl="3" w:tentative="0">
      <w:start w:val="1"/>
      <w:numFmt w:val="decimal"/>
      <w:pStyle w:val="55"/>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pStyle w:val="5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18"/>
      <w:lvlText w:val="%1)"/>
      <w:lvlJc w:val="left"/>
      <w:pPr>
        <w:tabs>
          <w:tab w:val="left" w:pos="839"/>
        </w:tabs>
        <w:ind w:left="839" w:hanging="419"/>
      </w:pPr>
      <w:rPr>
        <w:rFonts w:hint="eastAsia" w:ascii="宋体" w:eastAsia="宋体"/>
        <w:b w:val="0"/>
        <w:i w:val="0"/>
        <w:sz w:val="21"/>
      </w:rPr>
    </w:lvl>
    <w:lvl w:ilvl="1" w:tentative="0">
      <w:start w:val="1"/>
      <w:numFmt w:val="decimal"/>
      <w:pStyle w:val="99"/>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12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9"/>
  </w:num>
  <w:num w:numId="2">
    <w:abstractNumId w:val="5"/>
  </w:num>
  <w:num w:numId="3">
    <w:abstractNumId w:val="7"/>
  </w:num>
  <w:num w:numId="4">
    <w:abstractNumId w:val="14"/>
  </w:num>
  <w:num w:numId="5">
    <w:abstractNumId w:val="8"/>
  </w:num>
  <w:num w:numId="6">
    <w:abstractNumId w:val="0"/>
  </w:num>
  <w:num w:numId="7">
    <w:abstractNumId w:val="2"/>
  </w:num>
  <w:num w:numId="8">
    <w:abstractNumId w:val="15"/>
  </w:num>
  <w:num w:numId="9">
    <w:abstractNumId w:val="11"/>
  </w:num>
  <w:num w:numId="10">
    <w:abstractNumId w:val="10"/>
  </w:num>
  <w:num w:numId="11">
    <w:abstractNumId w:val="13"/>
  </w:num>
  <w:num w:numId="12">
    <w:abstractNumId w:val="12"/>
  </w:num>
  <w:num w:numId="13">
    <w:abstractNumId w:val="6"/>
  </w:num>
  <w:num w:numId="14">
    <w:abstractNumId w:val="16"/>
  </w:num>
  <w:num w:numId="15">
    <w:abstractNumId w:val="4"/>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dit="forms" w:enforcement="0"/>
  <w:defaultTabStop w:val="420"/>
  <w:hyphenationZone w:val="360"/>
  <w:evenAndOddHeaders w:val="1"/>
  <w:drawingGridHorizontalSpacing w:val="105"/>
  <w:drawingGridVerticalSpacing w:val="143"/>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244"/>
    <w:rsid w:val="0000185F"/>
    <w:rsid w:val="0000196C"/>
    <w:rsid w:val="00005158"/>
    <w:rsid w:val="0000586F"/>
    <w:rsid w:val="0000601E"/>
    <w:rsid w:val="0001147C"/>
    <w:rsid w:val="00013D86"/>
    <w:rsid w:val="00013E02"/>
    <w:rsid w:val="00015138"/>
    <w:rsid w:val="0002143C"/>
    <w:rsid w:val="00022C63"/>
    <w:rsid w:val="00025A65"/>
    <w:rsid w:val="00026C31"/>
    <w:rsid w:val="00027280"/>
    <w:rsid w:val="000320A7"/>
    <w:rsid w:val="00035925"/>
    <w:rsid w:val="00040773"/>
    <w:rsid w:val="00050E90"/>
    <w:rsid w:val="000520CC"/>
    <w:rsid w:val="00055713"/>
    <w:rsid w:val="00056ABD"/>
    <w:rsid w:val="0006134A"/>
    <w:rsid w:val="0006640D"/>
    <w:rsid w:val="00067CDF"/>
    <w:rsid w:val="00074FBE"/>
    <w:rsid w:val="00075AC1"/>
    <w:rsid w:val="00080520"/>
    <w:rsid w:val="00083A09"/>
    <w:rsid w:val="000841CE"/>
    <w:rsid w:val="0008525D"/>
    <w:rsid w:val="00087F98"/>
    <w:rsid w:val="0009005E"/>
    <w:rsid w:val="000920A1"/>
    <w:rsid w:val="00092857"/>
    <w:rsid w:val="000930F3"/>
    <w:rsid w:val="00097453"/>
    <w:rsid w:val="000A20A9"/>
    <w:rsid w:val="000A33F2"/>
    <w:rsid w:val="000A48B1"/>
    <w:rsid w:val="000A689A"/>
    <w:rsid w:val="000A7C3B"/>
    <w:rsid w:val="000B3143"/>
    <w:rsid w:val="000B4E17"/>
    <w:rsid w:val="000C57D3"/>
    <w:rsid w:val="000C6B05"/>
    <w:rsid w:val="000C6B32"/>
    <w:rsid w:val="000C6DD6"/>
    <w:rsid w:val="000C73D4"/>
    <w:rsid w:val="000D1213"/>
    <w:rsid w:val="000D29EA"/>
    <w:rsid w:val="000D2CF3"/>
    <w:rsid w:val="000D37FD"/>
    <w:rsid w:val="000D3931"/>
    <w:rsid w:val="000D3D4C"/>
    <w:rsid w:val="000D4F51"/>
    <w:rsid w:val="000D6903"/>
    <w:rsid w:val="000D718B"/>
    <w:rsid w:val="000E0C46"/>
    <w:rsid w:val="000E57E1"/>
    <w:rsid w:val="000E6270"/>
    <w:rsid w:val="000F030C"/>
    <w:rsid w:val="000F129C"/>
    <w:rsid w:val="000F3A43"/>
    <w:rsid w:val="000F4655"/>
    <w:rsid w:val="001019FC"/>
    <w:rsid w:val="001056DE"/>
    <w:rsid w:val="001124C0"/>
    <w:rsid w:val="001142A4"/>
    <w:rsid w:val="001146FA"/>
    <w:rsid w:val="00114C53"/>
    <w:rsid w:val="00114E9C"/>
    <w:rsid w:val="00125DEA"/>
    <w:rsid w:val="0013175F"/>
    <w:rsid w:val="00144357"/>
    <w:rsid w:val="00150A50"/>
    <w:rsid w:val="001512B4"/>
    <w:rsid w:val="0016034F"/>
    <w:rsid w:val="001608A7"/>
    <w:rsid w:val="001620A5"/>
    <w:rsid w:val="00162C02"/>
    <w:rsid w:val="00164E53"/>
    <w:rsid w:val="0016699D"/>
    <w:rsid w:val="00173236"/>
    <w:rsid w:val="00175159"/>
    <w:rsid w:val="001759FD"/>
    <w:rsid w:val="00176208"/>
    <w:rsid w:val="0018211B"/>
    <w:rsid w:val="001840D3"/>
    <w:rsid w:val="001900F8"/>
    <w:rsid w:val="00191258"/>
    <w:rsid w:val="00192680"/>
    <w:rsid w:val="00192B19"/>
    <w:rsid w:val="00193037"/>
    <w:rsid w:val="00193A2C"/>
    <w:rsid w:val="001A1309"/>
    <w:rsid w:val="001A288E"/>
    <w:rsid w:val="001A2B50"/>
    <w:rsid w:val="001A5310"/>
    <w:rsid w:val="001A5B59"/>
    <w:rsid w:val="001B4145"/>
    <w:rsid w:val="001B54AC"/>
    <w:rsid w:val="001B6118"/>
    <w:rsid w:val="001B6DC2"/>
    <w:rsid w:val="001C149C"/>
    <w:rsid w:val="001C21AC"/>
    <w:rsid w:val="001C47BA"/>
    <w:rsid w:val="001C578A"/>
    <w:rsid w:val="001C59EA"/>
    <w:rsid w:val="001C760A"/>
    <w:rsid w:val="001C7C5E"/>
    <w:rsid w:val="001D21C0"/>
    <w:rsid w:val="001D406C"/>
    <w:rsid w:val="001D41EE"/>
    <w:rsid w:val="001D7051"/>
    <w:rsid w:val="001E0380"/>
    <w:rsid w:val="001E13B1"/>
    <w:rsid w:val="001E3E00"/>
    <w:rsid w:val="001F3A19"/>
    <w:rsid w:val="00201118"/>
    <w:rsid w:val="00204CA2"/>
    <w:rsid w:val="0021100D"/>
    <w:rsid w:val="00212858"/>
    <w:rsid w:val="002129E1"/>
    <w:rsid w:val="002143D4"/>
    <w:rsid w:val="002217F4"/>
    <w:rsid w:val="00222D22"/>
    <w:rsid w:val="00232491"/>
    <w:rsid w:val="00234467"/>
    <w:rsid w:val="00237D8D"/>
    <w:rsid w:val="00241DA2"/>
    <w:rsid w:val="0024414E"/>
    <w:rsid w:val="002477AE"/>
    <w:rsid w:val="00247FEE"/>
    <w:rsid w:val="00250E7D"/>
    <w:rsid w:val="00253296"/>
    <w:rsid w:val="002550B8"/>
    <w:rsid w:val="002565D5"/>
    <w:rsid w:val="002611D1"/>
    <w:rsid w:val="002622C0"/>
    <w:rsid w:val="002778AE"/>
    <w:rsid w:val="0028269A"/>
    <w:rsid w:val="00282B34"/>
    <w:rsid w:val="00283590"/>
    <w:rsid w:val="00286973"/>
    <w:rsid w:val="002948E1"/>
    <w:rsid w:val="00294E70"/>
    <w:rsid w:val="00295BAB"/>
    <w:rsid w:val="002978AE"/>
    <w:rsid w:val="002A0EFB"/>
    <w:rsid w:val="002A1924"/>
    <w:rsid w:val="002A710C"/>
    <w:rsid w:val="002A7420"/>
    <w:rsid w:val="002B0F12"/>
    <w:rsid w:val="002B1308"/>
    <w:rsid w:val="002B4554"/>
    <w:rsid w:val="002C5102"/>
    <w:rsid w:val="002C72D8"/>
    <w:rsid w:val="002D11FA"/>
    <w:rsid w:val="002E0DDF"/>
    <w:rsid w:val="002E180B"/>
    <w:rsid w:val="002E2906"/>
    <w:rsid w:val="002E363B"/>
    <w:rsid w:val="002E424C"/>
    <w:rsid w:val="002E5635"/>
    <w:rsid w:val="002E64C3"/>
    <w:rsid w:val="002E6A2C"/>
    <w:rsid w:val="002F1D8C"/>
    <w:rsid w:val="002F21DA"/>
    <w:rsid w:val="002F7CF4"/>
    <w:rsid w:val="00301F39"/>
    <w:rsid w:val="00305374"/>
    <w:rsid w:val="00313990"/>
    <w:rsid w:val="003255AE"/>
    <w:rsid w:val="00325926"/>
    <w:rsid w:val="00327A8A"/>
    <w:rsid w:val="00336610"/>
    <w:rsid w:val="003408F1"/>
    <w:rsid w:val="00343DB7"/>
    <w:rsid w:val="00343F73"/>
    <w:rsid w:val="003445DB"/>
    <w:rsid w:val="00345060"/>
    <w:rsid w:val="00345966"/>
    <w:rsid w:val="0035323B"/>
    <w:rsid w:val="003609D2"/>
    <w:rsid w:val="00362E0A"/>
    <w:rsid w:val="00363F22"/>
    <w:rsid w:val="003671B3"/>
    <w:rsid w:val="00367B4F"/>
    <w:rsid w:val="00375564"/>
    <w:rsid w:val="00376D17"/>
    <w:rsid w:val="00383191"/>
    <w:rsid w:val="00386DED"/>
    <w:rsid w:val="003912E7"/>
    <w:rsid w:val="00392F6C"/>
    <w:rsid w:val="00393947"/>
    <w:rsid w:val="003A0DE5"/>
    <w:rsid w:val="003A2275"/>
    <w:rsid w:val="003A5543"/>
    <w:rsid w:val="003A6A4F"/>
    <w:rsid w:val="003A7088"/>
    <w:rsid w:val="003B00DF"/>
    <w:rsid w:val="003B1275"/>
    <w:rsid w:val="003B1778"/>
    <w:rsid w:val="003B26A9"/>
    <w:rsid w:val="003C0EED"/>
    <w:rsid w:val="003C11CB"/>
    <w:rsid w:val="003C75F3"/>
    <w:rsid w:val="003C78A3"/>
    <w:rsid w:val="003D48A4"/>
    <w:rsid w:val="003D4CC5"/>
    <w:rsid w:val="003E1867"/>
    <w:rsid w:val="003E5729"/>
    <w:rsid w:val="003F4EE0"/>
    <w:rsid w:val="00402153"/>
    <w:rsid w:val="00402FC1"/>
    <w:rsid w:val="004031AE"/>
    <w:rsid w:val="00406FC7"/>
    <w:rsid w:val="00407879"/>
    <w:rsid w:val="00413020"/>
    <w:rsid w:val="0042016D"/>
    <w:rsid w:val="00423B21"/>
    <w:rsid w:val="00423E21"/>
    <w:rsid w:val="00425082"/>
    <w:rsid w:val="00425A3F"/>
    <w:rsid w:val="00427441"/>
    <w:rsid w:val="00427C73"/>
    <w:rsid w:val="0043061C"/>
    <w:rsid w:val="00431DEB"/>
    <w:rsid w:val="00431EE3"/>
    <w:rsid w:val="00432EAD"/>
    <w:rsid w:val="00445A66"/>
    <w:rsid w:val="00446B29"/>
    <w:rsid w:val="004502D7"/>
    <w:rsid w:val="004504EA"/>
    <w:rsid w:val="00452488"/>
    <w:rsid w:val="00453F9A"/>
    <w:rsid w:val="0045736C"/>
    <w:rsid w:val="00471E91"/>
    <w:rsid w:val="0047358B"/>
    <w:rsid w:val="00474675"/>
    <w:rsid w:val="0047470C"/>
    <w:rsid w:val="00476D33"/>
    <w:rsid w:val="00490035"/>
    <w:rsid w:val="00496485"/>
    <w:rsid w:val="004A1417"/>
    <w:rsid w:val="004A35F9"/>
    <w:rsid w:val="004A57A5"/>
    <w:rsid w:val="004B24C1"/>
    <w:rsid w:val="004B4970"/>
    <w:rsid w:val="004B5E0B"/>
    <w:rsid w:val="004B6404"/>
    <w:rsid w:val="004C292F"/>
    <w:rsid w:val="004C4C69"/>
    <w:rsid w:val="004D0217"/>
    <w:rsid w:val="004D3831"/>
    <w:rsid w:val="004D44E3"/>
    <w:rsid w:val="004D6C0E"/>
    <w:rsid w:val="004F78A3"/>
    <w:rsid w:val="00510280"/>
    <w:rsid w:val="00513D73"/>
    <w:rsid w:val="00514A43"/>
    <w:rsid w:val="00516757"/>
    <w:rsid w:val="005174E5"/>
    <w:rsid w:val="00522393"/>
    <w:rsid w:val="00522620"/>
    <w:rsid w:val="00522770"/>
    <w:rsid w:val="00523745"/>
    <w:rsid w:val="00525656"/>
    <w:rsid w:val="00531E64"/>
    <w:rsid w:val="00531EAE"/>
    <w:rsid w:val="00534C02"/>
    <w:rsid w:val="0054264B"/>
    <w:rsid w:val="00542BF6"/>
    <w:rsid w:val="005431B7"/>
    <w:rsid w:val="00543786"/>
    <w:rsid w:val="005533D7"/>
    <w:rsid w:val="00561342"/>
    <w:rsid w:val="00567B56"/>
    <w:rsid w:val="005703DE"/>
    <w:rsid w:val="0057504A"/>
    <w:rsid w:val="00576B3A"/>
    <w:rsid w:val="00576D59"/>
    <w:rsid w:val="00581D11"/>
    <w:rsid w:val="00582659"/>
    <w:rsid w:val="00582DF9"/>
    <w:rsid w:val="0058464E"/>
    <w:rsid w:val="00593B48"/>
    <w:rsid w:val="005A01CB"/>
    <w:rsid w:val="005A4AD4"/>
    <w:rsid w:val="005A58FF"/>
    <w:rsid w:val="005A5EAF"/>
    <w:rsid w:val="005A63BD"/>
    <w:rsid w:val="005A64C0"/>
    <w:rsid w:val="005A7DCF"/>
    <w:rsid w:val="005B0152"/>
    <w:rsid w:val="005B3C11"/>
    <w:rsid w:val="005B4E08"/>
    <w:rsid w:val="005B4E7D"/>
    <w:rsid w:val="005C049B"/>
    <w:rsid w:val="005C0C25"/>
    <w:rsid w:val="005C1C28"/>
    <w:rsid w:val="005C3992"/>
    <w:rsid w:val="005C51AB"/>
    <w:rsid w:val="005C6DB5"/>
    <w:rsid w:val="005D5C78"/>
    <w:rsid w:val="005E19E7"/>
    <w:rsid w:val="005E2C52"/>
    <w:rsid w:val="005E7BE4"/>
    <w:rsid w:val="005F08D9"/>
    <w:rsid w:val="005F0D35"/>
    <w:rsid w:val="005F65A7"/>
    <w:rsid w:val="00604751"/>
    <w:rsid w:val="006073F4"/>
    <w:rsid w:val="00607DF6"/>
    <w:rsid w:val="0061665C"/>
    <w:rsid w:val="00616B6C"/>
    <w:rsid w:val="0061716C"/>
    <w:rsid w:val="006243A1"/>
    <w:rsid w:val="00624F6D"/>
    <w:rsid w:val="00625C20"/>
    <w:rsid w:val="00626A8B"/>
    <w:rsid w:val="00632E56"/>
    <w:rsid w:val="00635CBA"/>
    <w:rsid w:val="006427C8"/>
    <w:rsid w:val="0064338B"/>
    <w:rsid w:val="00646542"/>
    <w:rsid w:val="00647B53"/>
    <w:rsid w:val="006504F4"/>
    <w:rsid w:val="00653E13"/>
    <w:rsid w:val="00654BC9"/>
    <w:rsid w:val="006552FD"/>
    <w:rsid w:val="0065552C"/>
    <w:rsid w:val="00663AF3"/>
    <w:rsid w:val="006662C0"/>
    <w:rsid w:val="00666B6C"/>
    <w:rsid w:val="006732B8"/>
    <w:rsid w:val="00677554"/>
    <w:rsid w:val="006802FA"/>
    <w:rsid w:val="006807FD"/>
    <w:rsid w:val="0068111A"/>
    <w:rsid w:val="00682682"/>
    <w:rsid w:val="00682702"/>
    <w:rsid w:val="00682CAE"/>
    <w:rsid w:val="00692368"/>
    <w:rsid w:val="006A2333"/>
    <w:rsid w:val="006A2EBC"/>
    <w:rsid w:val="006A5EA0"/>
    <w:rsid w:val="006A6A45"/>
    <w:rsid w:val="006A783B"/>
    <w:rsid w:val="006A7B33"/>
    <w:rsid w:val="006B4E13"/>
    <w:rsid w:val="006B75DD"/>
    <w:rsid w:val="006C111C"/>
    <w:rsid w:val="006C2B86"/>
    <w:rsid w:val="006C4E41"/>
    <w:rsid w:val="006C67E0"/>
    <w:rsid w:val="006C7ABA"/>
    <w:rsid w:val="006D0D60"/>
    <w:rsid w:val="006D1122"/>
    <w:rsid w:val="006D114B"/>
    <w:rsid w:val="006D3C00"/>
    <w:rsid w:val="006D6CF4"/>
    <w:rsid w:val="006E3675"/>
    <w:rsid w:val="006E4A7F"/>
    <w:rsid w:val="006E6883"/>
    <w:rsid w:val="006E763C"/>
    <w:rsid w:val="006E7FAA"/>
    <w:rsid w:val="006F38CA"/>
    <w:rsid w:val="006F391A"/>
    <w:rsid w:val="006F529E"/>
    <w:rsid w:val="00704DF6"/>
    <w:rsid w:val="0070651C"/>
    <w:rsid w:val="00711C67"/>
    <w:rsid w:val="007132A3"/>
    <w:rsid w:val="0071332A"/>
    <w:rsid w:val="00713D86"/>
    <w:rsid w:val="00716421"/>
    <w:rsid w:val="00717C07"/>
    <w:rsid w:val="00720CC8"/>
    <w:rsid w:val="00724EFB"/>
    <w:rsid w:val="007374F3"/>
    <w:rsid w:val="007419C3"/>
    <w:rsid w:val="00741F70"/>
    <w:rsid w:val="00744F22"/>
    <w:rsid w:val="007467A7"/>
    <w:rsid w:val="007469DD"/>
    <w:rsid w:val="0074741B"/>
    <w:rsid w:val="0074759E"/>
    <w:rsid w:val="007478EA"/>
    <w:rsid w:val="00750F5F"/>
    <w:rsid w:val="0075271B"/>
    <w:rsid w:val="0075415C"/>
    <w:rsid w:val="0075558C"/>
    <w:rsid w:val="00763502"/>
    <w:rsid w:val="00763F12"/>
    <w:rsid w:val="00771382"/>
    <w:rsid w:val="00785BC1"/>
    <w:rsid w:val="00791261"/>
    <w:rsid w:val="007913AB"/>
    <w:rsid w:val="007914F7"/>
    <w:rsid w:val="0079481E"/>
    <w:rsid w:val="00794924"/>
    <w:rsid w:val="0079584F"/>
    <w:rsid w:val="00796CD2"/>
    <w:rsid w:val="00796EC9"/>
    <w:rsid w:val="007A18FE"/>
    <w:rsid w:val="007A41F3"/>
    <w:rsid w:val="007A4406"/>
    <w:rsid w:val="007A775F"/>
    <w:rsid w:val="007B1364"/>
    <w:rsid w:val="007B1625"/>
    <w:rsid w:val="007B3F7E"/>
    <w:rsid w:val="007B706E"/>
    <w:rsid w:val="007B71EB"/>
    <w:rsid w:val="007C2886"/>
    <w:rsid w:val="007C3FAD"/>
    <w:rsid w:val="007C6205"/>
    <w:rsid w:val="007C686A"/>
    <w:rsid w:val="007C728E"/>
    <w:rsid w:val="007C73A6"/>
    <w:rsid w:val="007C7B2A"/>
    <w:rsid w:val="007D1E26"/>
    <w:rsid w:val="007D2C53"/>
    <w:rsid w:val="007D3D60"/>
    <w:rsid w:val="007E1980"/>
    <w:rsid w:val="007E4B76"/>
    <w:rsid w:val="007E512F"/>
    <w:rsid w:val="007E5EA8"/>
    <w:rsid w:val="007F0CF1"/>
    <w:rsid w:val="007F12A5"/>
    <w:rsid w:val="007F4CF1"/>
    <w:rsid w:val="007F58BA"/>
    <w:rsid w:val="007F758D"/>
    <w:rsid w:val="007F7D52"/>
    <w:rsid w:val="008044AB"/>
    <w:rsid w:val="0080654C"/>
    <w:rsid w:val="008071C6"/>
    <w:rsid w:val="00807CBD"/>
    <w:rsid w:val="00817A00"/>
    <w:rsid w:val="00822912"/>
    <w:rsid w:val="00824AD2"/>
    <w:rsid w:val="00835DB3"/>
    <w:rsid w:val="0083617B"/>
    <w:rsid w:val="008371BD"/>
    <w:rsid w:val="00846F97"/>
    <w:rsid w:val="008504A8"/>
    <w:rsid w:val="0085282E"/>
    <w:rsid w:val="00856B52"/>
    <w:rsid w:val="00860C26"/>
    <w:rsid w:val="0086300E"/>
    <w:rsid w:val="00866B71"/>
    <w:rsid w:val="0087198C"/>
    <w:rsid w:val="00872C1F"/>
    <w:rsid w:val="00873B42"/>
    <w:rsid w:val="00876A08"/>
    <w:rsid w:val="00877E0B"/>
    <w:rsid w:val="00881DDC"/>
    <w:rsid w:val="008850BA"/>
    <w:rsid w:val="008856D8"/>
    <w:rsid w:val="00885DE0"/>
    <w:rsid w:val="00887F5C"/>
    <w:rsid w:val="00892E82"/>
    <w:rsid w:val="008B2883"/>
    <w:rsid w:val="008C1B58"/>
    <w:rsid w:val="008C39AE"/>
    <w:rsid w:val="008C5810"/>
    <w:rsid w:val="008C590D"/>
    <w:rsid w:val="008D0254"/>
    <w:rsid w:val="008E031B"/>
    <w:rsid w:val="008E4A10"/>
    <w:rsid w:val="008E5DED"/>
    <w:rsid w:val="008E7029"/>
    <w:rsid w:val="008E7EF6"/>
    <w:rsid w:val="008F1F98"/>
    <w:rsid w:val="008F4297"/>
    <w:rsid w:val="008F6758"/>
    <w:rsid w:val="00900DF6"/>
    <w:rsid w:val="009040DD"/>
    <w:rsid w:val="00905B47"/>
    <w:rsid w:val="009121C1"/>
    <w:rsid w:val="0091331C"/>
    <w:rsid w:val="009248E2"/>
    <w:rsid w:val="009279DE"/>
    <w:rsid w:val="00930116"/>
    <w:rsid w:val="0094212C"/>
    <w:rsid w:val="00950143"/>
    <w:rsid w:val="00953BE8"/>
    <w:rsid w:val="00954689"/>
    <w:rsid w:val="00955101"/>
    <w:rsid w:val="00956DF0"/>
    <w:rsid w:val="00957DB8"/>
    <w:rsid w:val="009617C9"/>
    <w:rsid w:val="00961C93"/>
    <w:rsid w:val="00965324"/>
    <w:rsid w:val="0097091E"/>
    <w:rsid w:val="009760D3"/>
    <w:rsid w:val="00977132"/>
    <w:rsid w:val="00981A4B"/>
    <w:rsid w:val="00981C31"/>
    <w:rsid w:val="00982501"/>
    <w:rsid w:val="009827E9"/>
    <w:rsid w:val="009846DE"/>
    <w:rsid w:val="0098483D"/>
    <w:rsid w:val="009877D3"/>
    <w:rsid w:val="009908E8"/>
    <w:rsid w:val="00991609"/>
    <w:rsid w:val="00994E8F"/>
    <w:rsid w:val="009951DC"/>
    <w:rsid w:val="009959BB"/>
    <w:rsid w:val="00997158"/>
    <w:rsid w:val="009A3A7C"/>
    <w:rsid w:val="009A51D3"/>
    <w:rsid w:val="009B0F61"/>
    <w:rsid w:val="009B2452"/>
    <w:rsid w:val="009B2ADB"/>
    <w:rsid w:val="009B592E"/>
    <w:rsid w:val="009B603A"/>
    <w:rsid w:val="009B7307"/>
    <w:rsid w:val="009C2D0E"/>
    <w:rsid w:val="009C3A8F"/>
    <w:rsid w:val="009C3DAC"/>
    <w:rsid w:val="009C41D7"/>
    <w:rsid w:val="009C42E0"/>
    <w:rsid w:val="009C6927"/>
    <w:rsid w:val="009D4B5C"/>
    <w:rsid w:val="009D5362"/>
    <w:rsid w:val="009E1415"/>
    <w:rsid w:val="009E22EA"/>
    <w:rsid w:val="009E6116"/>
    <w:rsid w:val="009E6473"/>
    <w:rsid w:val="009F1EF4"/>
    <w:rsid w:val="00A01CC1"/>
    <w:rsid w:val="00A02E43"/>
    <w:rsid w:val="00A065F9"/>
    <w:rsid w:val="00A07F34"/>
    <w:rsid w:val="00A1179F"/>
    <w:rsid w:val="00A22154"/>
    <w:rsid w:val="00A22935"/>
    <w:rsid w:val="00A253DC"/>
    <w:rsid w:val="00A25C38"/>
    <w:rsid w:val="00A26D79"/>
    <w:rsid w:val="00A36BBE"/>
    <w:rsid w:val="00A401EB"/>
    <w:rsid w:val="00A4307A"/>
    <w:rsid w:val="00A47EBB"/>
    <w:rsid w:val="00A512BE"/>
    <w:rsid w:val="00A51CDD"/>
    <w:rsid w:val="00A53BD5"/>
    <w:rsid w:val="00A57AE6"/>
    <w:rsid w:val="00A6730D"/>
    <w:rsid w:val="00A71625"/>
    <w:rsid w:val="00A71B9B"/>
    <w:rsid w:val="00A71D15"/>
    <w:rsid w:val="00A751C7"/>
    <w:rsid w:val="00A7593C"/>
    <w:rsid w:val="00A85E55"/>
    <w:rsid w:val="00A87288"/>
    <w:rsid w:val="00A87844"/>
    <w:rsid w:val="00A9372F"/>
    <w:rsid w:val="00AA038C"/>
    <w:rsid w:val="00AA7A09"/>
    <w:rsid w:val="00AB0842"/>
    <w:rsid w:val="00AB144B"/>
    <w:rsid w:val="00AB3B50"/>
    <w:rsid w:val="00AB3C94"/>
    <w:rsid w:val="00AB44FB"/>
    <w:rsid w:val="00AC05B1"/>
    <w:rsid w:val="00AC3F60"/>
    <w:rsid w:val="00AD07E6"/>
    <w:rsid w:val="00AD356C"/>
    <w:rsid w:val="00AE0BCF"/>
    <w:rsid w:val="00AE1A7C"/>
    <w:rsid w:val="00AE2914"/>
    <w:rsid w:val="00AE6D15"/>
    <w:rsid w:val="00AF2EDD"/>
    <w:rsid w:val="00AF3A82"/>
    <w:rsid w:val="00AF74EA"/>
    <w:rsid w:val="00AF7684"/>
    <w:rsid w:val="00B0173E"/>
    <w:rsid w:val="00B02153"/>
    <w:rsid w:val="00B022EA"/>
    <w:rsid w:val="00B02DE5"/>
    <w:rsid w:val="00B04182"/>
    <w:rsid w:val="00B06494"/>
    <w:rsid w:val="00B0767B"/>
    <w:rsid w:val="00B07AE3"/>
    <w:rsid w:val="00B101D6"/>
    <w:rsid w:val="00B11430"/>
    <w:rsid w:val="00B12355"/>
    <w:rsid w:val="00B13B7F"/>
    <w:rsid w:val="00B24FC6"/>
    <w:rsid w:val="00B31A76"/>
    <w:rsid w:val="00B353EB"/>
    <w:rsid w:val="00B37889"/>
    <w:rsid w:val="00B42CB3"/>
    <w:rsid w:val="00B439C4"/>
    <w:rsid w:val="00B4535E"/>
    <w:rsid w:val="00B465D5"/>
    <w:rsid w:val="00B47CCA"/>
    <w:rsid w:val="00B52A8C"/>
    <w:rsid w:val="00B53CCD"/>
    <w:rsid w:val="00B57154"/>
    <w:rsid w:val="00B617A5"/>
    <w:rsid w:val="00B62385"/>
    <w:rsid w:val="00B636A8"/>
    <w:rsid w:val="00B63F63"/>
    <w:rsid w:val="00B665C6"/>
    <w:rsid w:val="00B66FA0"/>
    <w:rsid w:val="00B7449E"/>
    <w:rsid w:val="00B74BE2"/>
    <w:rsid w:val="00B763ED"/>
    <w:rsid w:val="00B805AF"/>
    <w:rsid w:val="00B80D82"/>
    <w:rsid w:val="00B860C4"/>
    <w:rsid w:val="00B869EC"/>
    <w:rsid w:val="00B87806"/>
    <w:rsid w:val="00B90100"/>
    <w:rsid w:val="00B90B09"/>
    <w:rsid w:val="00B92559"/>
    <w:rsid w:val="00B9397A"/>
    <w:rsid w:val="00B9633D"/>
    <w:rsid w:val="00BA0B75"/>
    <w:rsid w:val="00BA2EBE"/>
    <w:rsid w:val="00BA7BC6"/>
    <w:rsid w:val="00BB0F28"/>
    <w:rsid w:val="00BB2DD4"/>
    <w:rsid w:val="00BB458A"/>
    <w:rsid w:val="00BB4A86"/>
    <w:rsid w:val="00BB7828"/>
    <w:rsid w:val="00BC2312"/>
    <w:rsid w:val="00BC3559"/>
    <w:rsid w:val="00BC4E15"/>
    <w:rsid w:val="00BD00D3"/>
    <w:rsid w:val="00BD089F"/>
    <w:rsid w:val="00BD1659"/>
    <w:rsid w:val="00BD28C6"/>
    <w:rsid w:val="00BD3AA9"/>
    <w:rsid w:val="00BD4A18"/>
    <w:rsid w:val="00BD500D"/>
    <w:rsid w:val="00BD6DB2"/>
    <w:rsid w:val="00BE0F51"/>
    <w:rsid w:val="00BE11CF"/>
    <w:rsid w:val="00BE1734"/>
    <w:rsid w:val="00BE21AB"/>
    <w:rsid w:val="00BE2541"/>
    <w:rsid w:val="00BE55CB"/>
    <w:rsid w:val="00BF203F"/>
    <w:rsid w:val="00BF26DE"/>
    <w:rsid w:val="00BF617A"/>
    <w:rsid w:val="00BF6FCE"/>
    <w:rsid w:val="00C0379D"/>
    <w:rsid w:val="00C03931"/>
    <w:rsid w:val="00C04079"/>
    <w:rsid w:val="00C05FE3"/>
    <w:rsid w:val="00C1512E"/>
    <w:rsid w:val="00C172DF"/>
    <w:rsid w:val="00C2136D"/>
    <w:rsid w:val="00C214EE"/>
    <w:rsid w:val="00C226F9"/>
    <w:rsid w:val="00C2314B"/>
    <w:rsid w:val="00C24971"/>
    <w:rsid w:val="00C26BE5"/>
    <w:rsid w:val="00C26E4D"/>
    <w:rsid w:val="00C27909"/>
    <w:rsid w:val="00C27AE8"/>
    <w:rsid w:val="00C27B03"/>
    <w:rsid w:val="00C314E1"/>
    <w:rsid w:val="00C34397"/>
    <w:rsid w:val="00C37448"/>
    <w:rsid w:val="00C3788B"/>
    <w:rsid w:val="00C4095D"/>
    <w:rsid w:val="00C50362"/>
    <w:rsid w:val="00C50F17"/>
    <w:rsid w:val="00C513F7"/>
    <w:rsid w:val="00C5202B"/>
    <w:rsid w:val="00C55044"/>
    <w:rsid w:val="00C601D2"/>
    <w:rsid w:val="00C6021C"/>
    <w:rsid w:val="00C63791"/>
    <w:rsid w:val="00C63C74"/>
    <w:rsid w:val="00C65BCC"/>
    <w:rsid w:val="00C66970"/>
    <w:rsid w:val="00C809B6"/>
    <w:rsid w:val="00C834E1"/>
    <w:rsid w:val="00C8691C"/>
    <w:rsid w:val="00C93A9C"/>
    <w:rsid w:val="00C96901"/>
    <w:rsid w:val="00C97584"/>
    <w:rsid w:val="00C97746"/>
    <w:rsid w:val="00CA168A"/>
    <w:rsid w:val="00CA1858"/>
    <w:rsid w:val="00CA357E"/>
    <w:rsid w:val="00CA44F9"/>
    <w:rsid w:val="00CA4A69"/>
    <w:rsid w:val="00CB7217"/>
    <w:rsid w:val="00CC0BA3"/>
    <w:rsid w:val="00CC3E0C"/>
    <w:rsid w:val="00CC58D3"/>
    <w:rsid w:val="00CC784D"/>
    <w:rsid w:val="00CE2033"/>
    <w:rsid w:val="00CE7856"/>
    <w:rsid w:val="00CF1DAD"/>
    <w:rsid w:val="00CF457D"/>
    <w:rsid w:val="00D0337B"/>
    <w:rsid w:val="00D079B2"/>
    <w:rsid w:val="00D07AF4"/>
    <w:rsid w:val="00D114E9"/>
    <w:rsid w:val="00D11B07"/>
    <w:rsid w:val="00D2186E"/>
    <w:rsid w:val="00D30798"/>
    <w:rsid w:val="00D34AE5"/>
    <w:rsid w:val="00D37863"/>
    <w:rsid w:val="00D41F84"/>
    <w:rsid w:val="00D429C6"/>
    <w:rsid w:val="00D44BB1"/>
    <w:rsid w:val="00D464E7"/>
    <w:rsid w:val="00D47748"/>
    <w:rsid w:val="00D54CC3"/>
    <w:rsid w:val="00D56EDD"/>
    <w:rsid w:val="00D6041A"/>
    <w:rsid w:val="00D633EB"/>
    <w:rsid w:val="00D645A4"/>
    <w:rsid w:val="00D70B64"/>
    <w:rsid w:val="00D716CE"/>
    <w:rsid w:val="00D82FF7"/>
    <w:rsid w:val="00D847FE"/>
    <w:rsid w:val="00D87EC0"/>
    <w:rsid w:val="00D91C43"/>
    <w:rsid w:val="00D964EA"/>
    <w:rsid w:val="00D966D0"/>
    <w:rsid w:val="00D979A6"/>
    <w:rsid w:val="00DA0AD4"/>
    <w:rsid w:val="00DA0AFE"/>
    <w:rsid w:val="00DA0C59"/>
    <w:rsid w:val="00DA2516"/>
    <w:rsid w:val="00DA2DF6"/>
    <w:rsid w:val="00DA3991"/>
    <w:rsid w:val="00DA5C9E"/>
    <w:rsid w:val="00DB0990"/>
    <w:rsid w:val="00DB2964"/>
    <w:rsid w:val="00DB7E6C"/>
    <w:rsid w:val="00DD181C"/>
    <w:rsid w:val="00DD5A29"/>
    <w:rsid w:val="00DD5D9D"/>
    <w:rsid w:val="00DE35CB"/>
    <w:rsid w:val="00DF21E9"/>
    <w:rsid w:val="00DF5424"/>
    <w:rsid w:val="00E00F14"/>
    <w:rsid w:val="00E05E81"/>
    <w:rsid w:val="00E06386"/>
    <w:rsid w:val="00E073D1"/>
    <w:rsid w:val="00E10FF7"/>
    <w:rsid w:val="00E17ED3"/>
    <w:rsid w:val="00E23529"/>
    <w:rsid w:val="00E23AD0"/>
    <w:rsid w:val="00E24EB4"/>
    <w:rsid w:val="00E25B54"/>
    <w:rsid w:val="00E27E00"/>
    <w:rsid w:val="00E3006C"/>
    <w:rsid w:val="00E3153B"/>
    <w:rsid w:val="00E320ED"/>
    <w:rsid w:val="00E33AFB"/>
    <w:rsid w:val="00E34218"/>
    <w:rsid w:val="00E34F8D"/>
    <w:rsid w:val="00E35668"/>
    <w:rsid w:val="00E370AD"/>
    <w:rsid w:val="00E4104B"/>
    <w:rsid w:val="00E46282"/>
    <w:rsid w:val="00E5216E"/>
    <w:rsid w:val="00E63B69"/>
    <w:rsid w:val="00E723C1"/>
    <w:rsid w:val="00E73D2E"/>
    <w:rsid w:val="00E758B6"/>
    <w:rsid w:val="00E81C6D"/>
    <w:rsid w:val="00E82344"/>
    <w:rsid w:val="00E82ECD"/>
    <w:rsid w:val="00E83880"/>
    <w:rsid w:val="00E84C82"/>
    <w:rsid w:val="00E84D64"/>
    <w:rsid w:val="00E86E27"/>
    <w:rsid w:val="00E87408"/>
    <w:rsid w:val="00E914C4"/>
    <w:rsid w:val="00E934F5"/>
    <w:rsid w:val="00E965ED"/>
    <w:rsid w:val="00E96961"/>
    <w:rsid w:val="00EA015D"/>
    <w:rsid w:val="00EA05DA"/>
    <w:rsid w:val="00EA139F"/>
    <w:rsid w:val="00EA273A"/>
    <w:rsid w:val="00EA650F"/>
    <w:rsid w:val="00EA72EC"/>
    <w:rsid w:val="00EB11CB"/>
    <w:rsid w:val="00EB275A"/>
    <w:rsid w:val="00EB35C8"/>
    <w:rsid w:val="00EB786A"/>
    <w:rsid w:val="00EC1578"/>
    <w:rsid w:val="00EC1C72"/>
    <w:rsid w:val="00EC3CC9"/>
    <w:rsid w:val="00EC680A"/>
    <w:rsid w:val="00ED171F"/>
    <w:rsid w:val="00ED2D54"/>
    <w:rsid w:val="00ED2E28"/>
    <w:rsid w:val="00ED6DDC"/>
    <w:rsid w:val="00EE09CD"/>
    <w:rsid w:val="00EE2BED"/>
    <w:rsid w:val="00EE3371"/>
    <w:rsid w:val="00EE374B"/>
    <w:rsid w:val="00EF07BB"/>
    <w:rsid w:val="00F07F0B"/>
    <w:rsid w:val="00F11BB5"/>
    <w:rsid w:val="00F1417B"/>
    <w:rsid w:val="00F25AC1"/>
    <w:rsid w:val="00F27B71"/>
    <w:rsid w:val="00F34B99"/>
    <w:rsid w:val="00F400A1"/>
    <w:rsid w:val="00F41AB5"/>
    <w:rsid w:val="00F43FF4"/>
    <w:rsid w:val="00F47D0E"/>
    <w:rsid w:val="00F52DAB"/>
    <w:rsid w:val="00F543F0"/>
    <w:rsid w:val="00F67A58"/>
    <w:rsid w:val="00F700AB"/>
    <w:rsid w:val="00F709BA"/>
    <w:rsid w:val="00F71831"/>
    <w:rsid w:val="00F72E31"/>
    <w:rsid w:val="00F739A2"/>
    <w:rsid w:val="00F73F49"/>
    <w:rsid w:val="00F81D29"/>
    <w:rsid w:val="00F82709"/>
    <w:rsid w:val="00F84722"/>
    <w:rsid w:val="00F876FE"/>
    <w:rsid w:val="00F91C4D"/>
    <w:rsid w:val="00F92FD9"/>
    <w:rsid w:val="00FA12CB"/>
    <w:rsid w:val="00FA5A1B"/>
    <w:rsid w:val="00FA634C"/>
    <w:rsid w:val="00FA6684"/>
    <w:rsid w:val="00FA731E"/>
    <w:rsid w:val="00FB2B38"/>
    <w:rsid w:val="00FC6358"/>
    <w:rsid w:val="00FD01CF"/>
    <w:rsid w:val="00FD320D"/>
    <w:rsid w:val="00FD5331"/>
    <w:rsid w:val="00FD60CF"/>
    <w:rsid w:val="00FE23DE"/>
    <w:rsid w:val="00FE46E8"/>
    <w:rsid w:val="00FF19CC"/>
    <w:rsid w:val="00FF6305"/>
    <w:rsid w:val="01CC6889"/>
    <w:rsid w:val="04240F58"/>
    <w:rsid w:val="0F43011C"/>
    <w:rsid w:val="10607338"/>
    <w:rsid w:val="11C13EC2"/>
    <w:rsid w:val="132C7D42"/>
    <w:rsid w:val="1D872612"/>
    <w:rsid w:val="248A38BB"/>
    <w:rsid w:val="27122730"/>
    <w:rsid w:val="27AD74C1"/>
    <w:rsid w:val="29A97DA8"/>
    <w:rsid w:val="29BF3B6B"/>
    <w:rsid w:val="2D74612D"/>
    <w:rsid w:val="2E020EE0"/>
    <w:rsid w:val="2E22623C"/>
    <w:rsid w:val="30071199"/>
    <w:rsid w:val="306453A1"/>
    <w:rsid w:val="30A32A3A"/>
    <w:rsid w:val="32CB08B4"/>
    <w:rsid w:val="344458BA"/>
    <w:rsid w:val="36C2188D"/>
    <w:rsid w:val="37EB3150"/>
    <w:rsid w:val="38B270B3"/>
    <w:rsid w:val="39B20D4D"/>
    <w:rsid w:val="3C887D35"/>
    <w:rsid w:val="3D1D273A"/>
    <w:rsid w:val="3E822B48"/>
    <w:rsid w:val="3FC40EAB"/>
    <w:rsid w:val="3FE61C84"/>
    <w:rsid w:val="40A834AA"/>
    <w:rsid w:val="415E460E"/>
    <w:rsid w:val="428D5720"/>
    <w:rsid w:val="43542701"/>
    <w:rsid w:val="45116F5A"/>
    <w:rsid w:val="47952FC1"/>
    <w:rsid w:val="4B910047"/>
    <w:rsid w:val="4C142A46"/>
    <w:rsid w:val="4E300229"/>
    <w:rsid w:val="54F55236"/>
    <w:rsid w:val="5596251F"/>
    <w:rsid w:val="55B47ADA"/>
    <w:rsid w:val="56B877EE"/>
    <w:rsid w:val="5C2E75D3"/>
    <w:rsid w:val="5E381F15"/>
    <w:rsid w:val="5E7C4A33"/>
    <w:rsid w:val="5FE34323"/>
    <w:rsid w:val="613D529F"/>
    <w:rsid w:val="62C91809"/>
    <w:rsid w:val="67B40567"/>
    <w:rsid w:val="6B100019"/>
    <w:rsid w:val="6D8A5081"/>
    <w:rsid w:val="6DC969E4"/>
    <w:rsid w:val="70EC6265"/>
    <w:rsid w:val="7179799C"/>
    <w:rsid w:val="745B2A98"/>
    <w:rsid w:val="75BC7C70"/>
    <w:rsid w:val="7F000F9E"/>
    <w:rsid w:val="FED709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unhideWhenUsed="0" w:uiPriority="39" w:semiHidden="0" w:name="toc 3"/>
    <w:lsdException w:qFormat="1" w:unhideWhenUsed="0" w:uiPriority="0" w:name="toc 4"/>
    <w:lsdException w:qFormat="1" w:unhideWhenUsed="0" w:uiPriority="0" w:name="toc 5"/>
    <w:lsdException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iPriority="99" w:semiHidden="0" w:name="annotation reference"/>
    <w:lsdException w:unhideWhenUsed="0" w:uiPriority="0" w:semiHidden="0" w:name="line number"/>
    <w:lsdException w:qFormat="1"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4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link w:val="145"/>
    <w:qFormat/>
    <w:uiPriority w:val="9"/>
    <w:pPr>
      <w:widowControl/>
      <w:spacing w:before="100" w:beforeAutospacing="1" w:after="100" w:afterAutospacing="1"/>
      <w:jc w:val="left"/>
      <w:outlineLvl w:val="2"/>
    </w:pPr>
    <w:rPr>
      <w:rFonts w:ascii="宋体" w:hAnsi="宋体"/>
      <w:b/>
      <w:bCs/>
      <w:kern w:val="0"/>
      <w:sz w:val="27"/>
      <w:szCs w:val="27"/>
    </w:rPr>
  </w:style>
  <w:style w:type="character" w:default="1" w:styleId="34">
    <w:name w:val="Default Paragraph Font"/>
    <w:unhideWhenUsed/>
    <w:qFormat/>
    <w:uiPriority w:val="1"/>
  </w:style>
  <w:style w:type="table" w:default="1" w:styleId="41">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Calibri"/>
      <w:sz w:val="20"/>
      <w:szCs w:val="20"/>
    </w:rPr>
    <w:tblPr>
      <w:tblLayout w:type="fixed"/>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0" w:firstLineChars="500"/>
      <w:jc w:val="left"/>
    </w:pPr>
    <w:rPr>
      <w:rFonts w:ascii="宋体"/>
      <w:szCs w:val="21"/>
    </w:rPr>
  </w:style>
  <w:style w:type="paragraph" w:styleId="6">
    <w:name w:val="index 8"/>
    <w:basedOn w:val="1"/>
    <w:next w:val="1"/>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uiPriority w:val="39"/>
    <w:pPr>
      <w:tabs>
        <w:tab w:val="right" w:leader="dot" w:pos="9241"/>
      </w:tabs>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Date"/>
    <w:basedOn w:val="1"/>
    <w:next w:val="1"/>
    <w:link w:val="149"/>
    <w:qFormat/>
    <w:uiPriority w:val="0"/>
    <w:pPr>
      <w:ind w:left="100" w:leftChars="2500"/>
    </w:pPr>
  </w:style>
  <w:style w:type="paragraph" w:styleId="17">
    <w:name w:val="endnote text"/>
    <w:basedOn w:val="1"/>
    <w:semiHidden/>
    <w:uiPriority w:val="0"/>
    <w:pPr>
      <w:snapToGrid w:val="0"/>
      <w:jc w:val="left"/>
    </w:pPr>
  </w:style>
  <w:style w:type="paragraph" w:styleId="18">
    <w:name w:val="Balloon Text"/>
    <w:basedOn w:val="1"/>
    <w:link w:val="150"/>
    <w:uiPriority w:val="0"/>
    <w:rPr>
      <w:sz w:val="18"/>
      <w:szCs w:val="18"/>
    </w:rPr>
  </w:style>
  <w:style w:type="paragraph" w:styleId="19">
    <w:name w:val="footer"/>
    <w:basedOn w:val="1"/>
    <w:link w:val="142"/>
    <w:uiPriority w:val="99"/>
    <w:pPr>
      <w:snapToGrid w:val="0"/>
      <w:ind w:right="210" w:rightChars="100"/>
      <w:jc w:val="right"/>
    </w:pPr>
    <w:rPr>
      <w:sz w:val="18"/>
      <w:szCs w:val="18"/>
    </w:rPr>
  </w:style>
  <w:style w:type="paragraph" w:styleId="20">
    <w:name w:val="header"/>
    <w:basedOn w:val="1"/>
    <w:uiPriority w:val="0"/>
    <w:pPr>
      <w:snapToGrid w:val="0"/>
      <w:jc w:val="left"/>
    </w:pPr>
    <w:rPr>
      <w:sz w:val="18"/>
      <w:szCs w:val="18"/>
    </w:rPr>
  </w:style>
  <w:style w:type="paragraph" w:styleId="21">
    <w:name w:val="toc 1"/>
    <w:basedOn w:val="1"/>
    <w:next w:val="1"/>
    <w:uiPriority w:val="39"/>
    <w:pPr>
      <w:tabs>
        <w:tab w:val="right" w:leader="dot" w:pos="9242"/>
      </w:tabs>
      <w:spacing w:beforeLines="25" w:afterLines="25"/>
      <w:jc w:val="left"/>
    </w:pPr>
    <w:rPr>
      <w:rFonts w:ascii="宋体"/>
      <w:szCs w:val="21"/>
    </w:rPr>
  </w:style>
  <w:style w:type="paragraph" w:styleId="22">
    <w:name w:val="toc 4"/>
    <w:basedOn w:val="1"/>
    <w:next w:val="1"/>
    <w:semiHidden/>
    <w:qFormat/>
    <w:uiPriority w:val="0"/>
    <w:pPr>
      <w:tabs>
        <w:tab w:val="right" w:leader="dot" w:pos="9241"/>
      </w:tabs>
      <w:ind w:firstLine="200" w:firstLineChars="200"/>
      <w:jc w:val="left"/>
    </w:pPr>
    <w:rPr>
      <w:rFonts w:ascii="宋体"/>
      <w:szCs w:val="21"/>
    </w:rPr>
  </w:style>
  <w:style w:type="paragraph" w:styleId="23">
    <w:name w:val="index heading"/>
    <w:basedOn w:val="1"/>
    <w:next w:val="24"/>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144"/>
    <w:qFormat/>
    <w:uiPriority w:val="0"/>
    <w:pPr>
      <w:tabs>
        <w:tab w:val="center" w:pos="4201"/>
        <w:tab w:val="right" w:leader="dot" w:pos="9298"/>
      </w:tabs>
      <w:autoSpaceDE w:val="0"/>
      <w:autoSpaceDN w:val="0"/>
      <w:ind w:firstLine="420" w:firstLineChars="200"/>
      <w:jc w:val="both"/>
    </w:pPr>
    <w:rPr>
      <w:rFonts w:ascii="宋体" w:hAnsi="Calibri" w:eastAsia="宋体" w:cs="Times New Roman"/>
      <w:sz w:val="21"/>
      <w:lang w:val="en-US" w:eastAsia="zh-CN" w:bidi="ar-SA"/>
    </w:rPr>
  </w:style>
  <w:style w:type="paragraph" w:styleId="26">
    <w:name w:val="footnote text"/>
    <w:basedOn w:val="1"/>
    <w:uiPriority w:val="0"/>
    <w:pPr>
      <w:numPr>
        <w:ilvl w:val="0"/>
        <w:numId w:val="1"/>
      </w:numPr>
      <w:snapToGrid w:val="0"/>
      <w:jc w:val="left"/>
    </w:pPr>
    <w:rPr>
      <w:rFonts w:ascii="宋体"/>
      <w:sz w:val="18"/>
      <w:szCs w:val="18"/>
    </w:rPr>
  </w:style>
  <w:style w:type="paragraph" w:styleId="27">
    <w:name w:val="toc 6"/>
    <w:basedOn w:val="1"/>
    <w:next w:val="1"/>
    <w:semiHidden/>
    <w:uiPriority w:val="0"/>
    <w:pPr>
      <w:tabs>
        <w:tab w:val="right" w:leader="dot" w:pos="9241"/>
      </w:tabs>
      <w:ind w:firstLine="400"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2"/>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character" w:styleId="35">
    <w:name w:val="endnote reference"/>
    <w:semiHidden/>
    <w:uiPriority w:val="0"/>
    <w:rPr>
      <w:vertAlign w:val="superscript"/>
    </w:rPr>
  </w:style>
  <w:style w:type="character" w:styleId="36">
    <w:name w:val="page number"/>
    <w:qFormat/>
    <w:uiPriority w:val="0"/>
    <w:rPr>
      <w:rFonts w:ascii="Times New Roman" w:hAnsi="Times New Roman" w:eastAsia="宋体"/>
      <w:sz w:val="18"/>
    </w:rPr>
  </w:style>
  <w:style w:type="character" w:styleId="37">
    <w:name w:val="Emphasis"/>
    <w:qFormat/>
    <w:uiPriority w:val="20"/>
    <w:rPr>
      <w:i/>
      <w:iCs/>
    </w:rPr>
  </w:style>
  <w:style w:type="character" w:styleId="38">
    <w:name w:val="Hyperlink"/>
    <w:qFormat/>
    <w:uiPriority w:val="99"/>
    <w:rPr>
      <w:color w:val="0000FF"/>
      <w:spacing w:val="0"/>
      <w:w w:val="100"/>
      <w:szCs w:val="21"/>
      <w:u w:val="single"/>
    </w:rPr>
  </w:style>
  <w:style w:type="character" w:styleId="39">
    <w:name w:val="annotation reference"/>
    <w:unhideWhenUsed/>
    <w:uiPriority w:val="99"/>
    <w:rPr>
      <w:sz w:val="21"/>
      <w:szCs w:val="21"/>
    </w:rPr>
  </w:style>
  <w:style w:type="character" w:styleId="40">
    <w:name w:val="footnote reference"/>
    <w:semiHidden/>
    <w:qFormat/>
    <w:uiPriority w:val="0"/>
    <w:rPr>
      <w:vertAlign w:val="superscript"/>
    </w:rPr>
  </w:style>
  <w:style w:type="table" w:styleId="42">
    <w:name w:val="Table Grid"/>
    <w:basedOn w:val="41"/>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43">
    <w:name w:val="附录标题"/>
    <w:basedOn w:val="25"/>
    <w:next w:val="25"/>
    <w:qFormat/>
    <w:uiPriority w:val="0"/>
    <w:pPr>
      <w:ind w:firstLine="0" w:firstLineChars="0"/>
      <w:jc w:val="center"/>
    </w:pPr>
    <w:rPr>
      <w:rFonts w:ascii="黑体" w:eastAsia="黑体"/>
    </w:rPr>
  </w:style>
  <w:style w:type="paragraph" w:customStyle="1" w:styleId="44">
    <w:name w:val="编号列项（三级）"/>
    <w:uiPriority w:val="0"/>
    <w:rPr>
      <w:rFonts w:ascii="宋体" w:hAnsi="Calibri" w:eastAsia="宋体" w:cs="Times New Roman"/>
      <w:sz w:val="21"/>
      <w:lang w:val="en-US" w:eastAsia="zh-CN" w:bidi="ar-SA"/>
    </w:rPr>
  </w:style>
  <w:style w:type="paragraph" w:customStyle="1" w:styleId="45">
    <w:name w:val="封面标准代替信息"/>
    <w:uiPriority w:val="0"/>
    <w:pPr>
      <w:framePr w:w="9140" w:h="1242" w:hRule="exact" w:hSpace="284" w:wrap="around" w:vAnchor="page" w:hAnchor="page" w:x="1645" w:y="2910" w:anchorLock="1"/>
      <w:spacing w:before="57" w:line="280" w:lineRule="exact"/>
      <w:jc w:val="right"/>
    </w:pPr>
    <w:rPr>
      <w:rFonts w:ascii="宋体" w:hAnsi="Calibri" w:eastAsia="宋体" w:cs="Times New Roman"/>
      <w:sz w:val="21"/>
      <w:szCs w:val="21"/>
      <w:lang w:val="en-US" w:eastAsia="zh-CN" w:bidi="ar-SA"/>
    </w:rPr>
  </w:style>
  <w:style w:type="paragraph" w:customStyle="1" w:styleId="46">
    <w:name w:val="三级无"/>
    <w:basedOn w:val="47"/>
    <w:qFormat/>
    <w:uiPriority w:val="0"/>
    <w:pPr>
      <w:spacing w:beforeLines="0" w:afterLines="0"/>
    </w:pPr>
    <w:rPr>
      <w:rFonts w:ascii="宋体" w:eastAsia="宋体"/>
    </w:rPr>
  </w:style>
  <w:style w:type="paragraph" w:customStyle="1" w:styleId="47">
    <w:name w:val="三级条标题"/>
    <w:basedOn w:val="48"/>
    <w:next w:val="25"/>
    <w:qFormat/>
    <w:uiPriority w:val="0"/>
    <w:pPr>
      <w:numPr>
        <w:ilvl w:val="0"/>
        <w:numId w:val="0"/>
      </w:numPr>
      <w:outlineLvl w:val="4"/>
    </w:pPr>
  </w:style>
  <w:style w:type="paragraph" w:customStyle="1" w:styleId="48">
    <w:name w:val="二级条标题"/>
    <w:basedOn w:val="49"/>
    <w:next w:val="25"/>
    <w:qFormat/>
    <w:uiPriority w:val="0"/>
    <w:pPr>
      <w:numPr>
        <w:ilvl w:val="2"/>
        <w:numId w:val="2"/>
      </w:numPr>
      <w:spacing w:before="50" w:after="50"/>
      <w:outlineLvl w:val="3"/>
    </w:pPr>
  </w:style>
  <w:style w:type="paragraph" w:customStyle="1" w:styleId="49">
    <w:name w:val="一级条标题"/>
    <w:next w:val="25"/>
    <w:qFormat/>
    <w:uiPriority w:val="0"/>
    <w:pPr>
      <w:numPr>
        <w:ilvl w:val="1"/>
        <w:numId w:val="2"/>
      </w:numPr>
      <w:spacing w:beforeLines="50" w:afterLines="50"/>
      <w:outlineLvl w:val="2"/>
    </w:pPr>
    <w:rPr>
      <w:rFonts w:ascii="黑体" w:hAnsi="Calibri" w:eastAsia="黑体" w:cs="Times New Roman"/>
      <w:sz w:val="21"/>
      <w:szCs w:val="21"/>
      <w:lang w:val="en-US" w:eastAsia="zh-CN" w:bidi="ar-SA"/>
    </w:rPr>
  </w:style>
  <w:style w:type="paragraph" w:customStyle="1" w:styleId="50">
    <w:name w:val="附录图标号"/>
    <w:basedOn w:val="1"/>
    <w:uiPriority w:val="0"/>
    <w:pPr>
      <w:keepNext/>
      <w:pageBreakBefore/>
      <w:widowControl/>
      <w:numPr>
        <w:ilvl w:val="0"/>
        <w:numId w:val="3"/>
      </w:numPr>
      <w:spacing w:line="14" w:lineRule="exact"/>
      <w:ind w:left="0" w:firstLine="363"/>
      <w:jc w:val="center"/>
      <w:outlineLvl w:val="0"/>
    </w:pPr>
    <w:rPr>
      <w:color w:val="FFFFFF"/>
    </w:rPr>
  </w:style>
  <w:style w:type="paragraph" w:customStyle="1" w:styleId="51">
    <w:name w:val="附录五级无"/>
    <w:basedOn w:val="52"/>
    <w:qFormat/>
    <w:uiPriority w:val="0"/>
    <w:pPr>
      <w:tabs>
        <w:tab w:val="left" w:pos="360"/>
      </w:tabs>
      <w:spacing w:beforeLines="0" w:afterLines="0"/>
    </w:pPr>
    <w:rPr>
      <w:rFonts w:ascii="宋体" w:eastAsia="宋体"/>
      <w:szCs w:val="21"/>
    </w:rPr>
  </w:style>
  <w:style w:type="paragraph" w:customStyle="1" w:styleId="52">
    <w:name w:val="附录五级条标题"/>
    <w:basedOn w:val="53"/>
    <w:next w:val="25"/>
    <w:qFormat/>
    <w:uiPriority w:val="0"/>
    <w:pPr>
      <w:numPr>
        <w:ilvl w:val="6"/>
        <w:numId w:val="4"/>
      </w:numPr>
      <w:tabs>
        <w:tab w:val="left" w:pos="360"/>
      </w:tabs>
      <w:outlineLvl w:val="6"/>
    </w:pPr>
  </w:style>
  <w:style w:type="paragraph" w:customStyle="1" w:styleId="53">
    <w:name w:val="附录四级条标题"/>
    <w:basedOn w:val="54"/>
    <w:next w:val="25"/>
    <w:uiPriority w:val="0"/>
    <w:pPr>
      <w:numPr>
        <w:ilvl w:val="5"/>
        <w:numId w:val="4"/>
      </w:numPr>
      <w:tabs>
        <w:tab w:val="left" w:pos="360"/>
      </w:tabs>
      <w:outlineLvl w:val="5"/>
    </w:pPr>
  </w:style>
  <w:style w:type="paragraph" w:customStyle="1" w:styleId="54">
    <w:name w:val="附录三级条标题"/>
    <w:basedOn w:val="55"/>
    <w:next w:val="25"/>
    <w:qFormat/>
    <w:uiPriority w:val="0"/>
    <w:pPr>
      <w:numPr>
        <w:ilvl w:val="4"/>
        <w:numId w:val="4"/>
      </w:numPr>
      <w:tabs>
        <w:tab w:val="left" w:pos="360"/>
      </w:tabs>
      <w:outlineLvl w:val="4"/>
    </w:pPr>
  </w:style>
  <w:style w:type="paragraph" w:customStyle="1" w:styleId="55">
    <w:name w:val="附录二级条标题"/>
    <w:basedOn w:val="1"/>
    <w:next w:val="25"/>
    <w:uiPriority w:val="0"/>
    <w:pPr>
      <w:widowControl/>
      <w:numPr>
        <w:ilvl w:val="3"/>
        <w:numId w:val="4"/>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56">
    <w:name w:val="其他发布部门"/>
    <w:basedOn w:val="57"/>
    <w:qFormat/>
    <w:uiPriority w:val="0"/>
    <w:pPr>
      <w:framePr w:y="15310"/>
      <w:spacing w:line="0" w:lineRule="atLeast"/>
    </w:pPr>
    <w:rPr>
      <w:rFonts w:ascii="黑体" w:eastAsia="黑体"/>
      <w:b w:val="0"/>
    </w:rPr>
  </w:style>
  <w:style w:type="paragraph" w:customStyle="1" w:styleId="57">
    <w:name w:val="发布部门"/>
    <w:next w:val="25"/>
    <w:uiPriority w:val="0"/>
    <w:pPr>
      <w:framePr w:w="7938" w:h="1134" w:hRule="exact" w:hSpace="125" w:vSpace="181" w:wrap="around" w:vAnchor="page" w:hAnchor="page" w:x="2150" w:y="14630" w:anchorLock="1"/>
      <w:jc w:val="center"/>
    </w:pPr>
    <w:rPr>
      <w:rFonts w:ascii="宋体" w:hAnsi="Calibri" w:eastAsia="宋体" w:cs="Times New Roman"/>
      <w:b/>
      <w:spacing w:val="20"/>
      <w:w w:val="135"/>
      <w:sz w:val="28"/>
      <w:lang w:val="en-US" w:eastAsia="zh-CN" w:bidi="ar-SA"/>
    </w:rPr>
  </w:style>
  <w:style w:type="paragraph" w:customStyle="1" w:styleId="58">
    <w:name w:val="封面一致性程度标识2"/>
    <w:basedOn w:val="59"/>
    <w:qFormat/>
    <w:uiPriority w:val="0"/>
    <w:pPr>
      <w:framePr w:y="4469"/>
    </w:pPr>
  </w:style>
  <w:style w:type="paragraph" w:customStyle="1" w:styleId="59">
    <w:name w:val="封面一致性程度标识"/>
    <w:basedOn w:val="60"/>
    <w:uiPriority w:val="0"/>
    <w:pPr>
      <w:spacing w:before="440"/>
    </w:pPr>
    <w:rPr>
      <w:rFonts w:ascii="宋体" w:eastAsia="宋体"/>
    </w:rPr>
  </w:style>
  <w:style w:type="paragraph" w:customStyle="1" w:styleId="60">
    <w:name w:val="封面标准英文名称"/>
    <w:basedOn w:val="61"/>
    <w:qFormat/>
    <w:uiPriority w:val="0"/>
    <w:pPr>
      <w:spacing w:before="370" w:line="400" w:lineRule="exact"/>
    </w:pPr>
    <w:rPr>
      <w:rFonts w:ascii="Times New Roman"/>
      <w:sz w:val="28"/>
      <w:szCs w:val="28"/>
    </w:rPr>
  </w:style>
  <w:style w:type="paragraph" w:customStyle="1" w:styleId="6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62">
    <w:name w:val="列项●（二级）"/>
    <w:uiPriority w:val="0"/>
    <w:pPr>
      <w:numPr>
        <w:ilvl w:val="1"/>
        <w:numId w:val="5"/>
      </w:numPr>
      <w:tabs>
        <w:tab w:val="left" w:pos="840"/>
        <w:tab w:val="clear" w:pos="760"/>
      </w:tabs>
      <w:jc w:val="both"/>
    </w:pPr>
    <w:rPr>
      <w:rFonts w:ascii="宋体" w:hAnsi="Calibri" w:eastAsia="宋体" w:cs="Times New Roman"/>
      <w:sz w:val="21"/>
      <w:lang w:val="en-US" w:eastAsia="zh-CN" w:bidi="ar-SA"/>
    </w:rPr>
  </w:style>
  <w:style w:type="paragraph" w:customStyle="1" w:styleId="63">
    <w:name w:val="条文脚注"/>
    <w:basedOn w:val="26"/>
    <w:qFormat/>
    <w:uiPriority w:val="0"/>
    <w:pPr>
      <w:numPr>
        <w:ilvl w:val="0"/>
        <w:numId w:val="0"/>
      </w:numPr>
      <w:jc w:val="both"/>
    </w:pPr>
  </w:style>
  <w:style w:type="paragraph" w:customStyle="1" w:styleId="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6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66">
    <w:name w:val="附录二级无"/>
    <w:basedOn w:val="55"/>
    <w:qFormat/>
    <w:uiPriority w:val="0"/>
    <w:pPr>
      <w:tabs>
        <w:tab w:val="clear" w:pos="360"/>
      </w:tabs>
      <w:spacing w:beforeLines="0" w:afterLines="0"/>
    </w:pPr>
    <w:rPr>
      <w:rFonts w:ascii="宋体" w:eastAsia="宋体"/>
      <w:szCs w:val="21"/>
    </w:rPr>
  </w:style>
  <w:style w:type="paragraph" w:customStyle="1" w:styleId="67">
    <w:name w:val="封面正文"/>
    <w:uiPriority w:val="0"/>
    <w:pPr>
      <w:jc w:val="both"/>
    </w:pPr>
    <w:rPr>
      <w:rFonts w:ascii="Calibri" w:hAnsi="Calibri" w:eastAsia="宋体" w:cs="Times New Roman"/>
      <w:lang w:val="en-US" w:eastAsia="zh-CN" w:bidi="ar-SA"/>
    </w:rPr>
  </w:style>
  <w:style w:type="paragraph" w:customStyle="1" w:styleId="68">
    <w:name w:val="附录一级条标题"/>
    <w:basedOn w:val="69"/>
    <w:next w:val="25"/>
    <w:qFormat/>
    <w:uiPriority w:val="0"/>
    <w:pPr>
      <w:numPr>
        <w:ilvl w:val="2"/>
        <w:numId w:val="4"/>
      </w:numPr>
      <w:autoSpaceDN w:val="0"/>
      <w:spacing w:beforeLines="50" w:afterLines="50"/>
      <w:outlineLvl w:val="2"/>
    </w:pPr>
  </w:style>
  <w:style w:type="paragraph" w:customStyle="1" w:styleId="69">
    <w:name w:val="附录章标题"/>
    <w:next w:val="25"/>
    <w:qFormat/>
    <w:uiPriority w:val="0"/>
    <w:pPr>
      <w:numPr>
        <w:ilvl w:val="1"/>
        <w:numId w:val="4"/>
      </w:numPr>
      <w:wordWrap w:val="0"/>
      <w:overflowPunct w:val="0"/>
      <w:autoSpaceDE w:val="0"/>
      <w:spacing w:beforeLines="100" w:afterLines="100"/>
      <w:jc w:val="both"/>
      <w:textAlignment w:val="baseline"/>
      <w:outlineLvl w:val="1"/>
    </w:pPr>
    <w:rPr>
      <w:rFonts w:ascii="黑体" w:hAnsi="Calibri" w:eastAsia="黑体" w:cs="Times New Roman"/>
      <w:kern w:val="21"/>
      <w:sz w:val="21"/>
      <w:lang w:val="en-US" w:eastAsia="zh-CN" w:bidi="ar-SA"/>
    </w:rPr>
  </w:style>
  <w:style w:type="paragraph" w:customStyle="1" w:styleId="70">
    <w:name w:val="前言、引言标题"/>
    <w:next w:val="25"/>
    <w:qFormat/>
    <w:uiPriority w:val="0"/>
    <w:pPr>
      <w:keepNext/>
      <w:pageBreakBefore/>
      <w:shd w:val="clear" w:color="FFFFFF" w:fill="FFFFFF"/>
      <w:spacing w:before="640" w:after="560"/>
      <w:jc w:val="center"/>
      <w:outlineLvl w:val="0"/>
    </w:pPr>
    <w:rPr>
      <w:rFonts w:ascii="黑体" w:hAnsi="Calibri" w:eastAsia="黑体" w:cs="Times New Roman"/>
      <w:sz w:val="32"/>
      <w:lang w:val="en-US" w:eastAsia="zh-CN" w:bidi="ar-SA"/>
    </w:rPr>
  </w:style>
  <w:style w:type="paragraph" w:customStyle="1" w:styleId="71">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72">
    <w:name w:val="终结线"/>
    <w:basedOn w:val="1"/>
    <w:uiPriority w:val="0"/>
    <w:pPr>
      <w:framePr w:hSpace="181" w:vSpace="181" w:wrap="around" w:vAnchor="text" w:hAnchor="margin" w:xAlign="center" w:y="285"/>
    </w:pPr>
  </w:style>
  <w:style w:type="paragraph" w:customStyle="1" w:styleId="73">
    <w:name w:val="图的脚注"/>
    <w:next w:val="25"/>
    <w:qFormat/>
    <w:uiPriority w:val="0"/>
    <w:pPr>
      <w:widowControl w:val="0"/>
      <w:ind w:left="840" w:leftChars="200" w:hanging="420" w:hangingChars="200"/>
      <w:jc w:val="both"/>
    </w:pPr>
    <w:rPr>
      <w:rFonts w:ascii="宋体" w:hAnsi="Calibri" w:eastAsia="宋体" w:cs="Times New Roman"/>
      <w:sz w:val="18"/>
      <w:lang w:val="en-US" w:eastAsia="zh-CN" w:bidi="ar-SA"/>
    </w:rPr>
  </w:style>
  <w:style w:type="paragraph" w:customStyle="1" w:styleId="74">
    <w:name w:val="标准称谓"/>
    <w:next w:val="1"/>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Calibri" w:eastAsia="宋体" w:cs="Times New Roman"/>
      <w:b/>
      <w:bCs/>
      <w:spacing w:val="20"/>
      <w:w w:val="148"/>
      <w:sz w:val="48"/>
      <w:lang w:val="en-US" w:eastAsia="zh-CN" w:bidi="ar-SA"/>
    </w:rPr>
  </w:style>
  <w:style w:type="paragraph" w:customStyle="1" w:styleId="75">
    <w:name w:val="四级无"/>
    <w:basedOn w:val="76"/>
    <w:qFormat/>
    <w:uiPriority w:val="0"/>
    <w:pPr>
      <w:spacing w:beforeLines="0" w:afterLines="0"/>
    </w:pPr>
    <w:rPr>
      <w:rFonts w:ascii="宋体" w:eastAsia="宋体"/>
    </w:rPr>
  </w:style>
  <w:style w:type="paragraph" w:customStyle="1" w:styleId="76">
    <w:name w:val="四级条标题"/>
    <w:basedOn w:val="47"/>
    <w:next w:val="25"/>
    <w:qFormat/>
    <w:uiPriority w:val="0"/>
    <w:pPr>
      <w:numPr>
        <w:ilvl w:val="4"/>
        <w:numId w:val="2"/>
      </w:numPr>
      <w:outlineLvl w:val="5"/>
    </w:pPr>
  </w:style>
  <w:style w:type="paragraph" w:customStyle="1" w:styleId="77">
    <w:name w:val="注×："/>
    <w:uiPriority w:val="0"/>
    <w:pPr>
      <w:widowControl w:val="0"/>
      <w:numPr>
        <w:ilvl w:val="0"/>
        <w:numId w:val="6"/>
      </w:numPr>
      <w:autoSpaceDE w:val="0"/>
      <w:autoSpaceDN w:val="0"/>
      <w:jc w:val="both"/>
    </w:pPr>
    <w:rPr>
      <w:rFonts w:ascii="宋体" w:hAnsi="Calibri" w:eastAsia="宋体" w:cs="Times New Roman"/>
      <w:sz w:val="18"/>
      <w:szCs w:val="18"/>
      <w:lang w:val="en-US" w:eastAsia="zh-CN" w:bidi="ar-SA"/>
    </w:rPr>
  </w:style>
  <w:style w:type="paragraph" w:customStyle="1" w:styleId="7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Calibri" w:hAnsi="Calibri" w:eastAsia="宋体" w:cs="Times New Roman"/>
      <w:b/>
      <w:w w:val="170"/>
      <w:sz w:val="96"/>
      <w:szCs w:val="96"/>
      <w:lang w:val="en-US" w:eastAsia="zh-CN" w:bidi="ar-SA"/>
    </w:rPr>
  </w:style>
  <w:style w:type="paragraph" w:customStyle="1" w:styleId="79">
    <w:name w:val="标准书眉一"/>
    <w:uiPriority w:val="0"/>
    <w:pPr>
      <w:jc w:val="both"/>
    </w:pPr>
    <w:rPr>
      <w:rFonts w:ascii="Calibri" w:hAnsi="Calibri" w:eastAsia="宋体" w:cs="Times New Roman"/>
      <w:lang w:val="en-US" w:eastAsia="zh-CN" w:bidi="ar-SA"/>
    </w:rPr>
  </w:style>
  <w:style w:type="paragraph" w:customStyle="1" w:styleId="80">
    <w:name w:val="图表脚注说明"/>
    <w:basedOn w:val="1"/>
    <w:qFormat/>
    <w:uiPriority w:val="0"/>
    <w:pPr>
      <w:ind w:left="544" w:hanging="181"/>
    </w:pPr>
    <w:rPr>
      <w:rFonts w:ascii="宋体"/>
      <w:sz w:val="18"/>
      <w:szCs w:val="18"/>
    </w:rPr>
  </w:style>
  <w:style w:type="paragraph" w:customStyle="1" w:styleId="81">
    <w:name w:val="_Style 80"/>
    <w:basedOn w:val="1"/>
    <w:qFormat/>
    <w:uiPriority w:val="34"/>
    <w:pPr>
      <w:ind w:firstLine="420" w:firstLineChars="200"/>
    </w:pPr>
  </w:style>
  <w:style w:type="paragraph" w:customStyle="1" w:styleId="82">
    <w:name w:val="封面标准文稿编辑信息"/>
    <w:basedOn w:val="83"/>
    <w:uiPriority w:val="0"/>
    <w:pPr>
      <w:spacing w:before="180" w:line="180" w:lineRule="exact"/>
    </w:pPr>
    <w:rPr>
      <w:sz w:val="21"/>
    </w:rPr>
  </w:style>
  <w:style w:type="paragraph" w:customStyle="1" w:styleId="83">
    <w:name w:val="封面标准文稿类别"/>
    <w:basedOn w:val="59"/>
    <w:qFormat/>
    <w:uiPriority w:val="0"/>
    <w:pPr>
      <w:spacing w:after="160" w:line="240" w:lineRule="auto"/>
    </w:pPr>
    <w:rPr>
      <w:sz w:val="24"/>
    </w:rPr>
  </w:style>
  <w:style w:type="paragraph" w:customStyle="1" w:styleId="84">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85">
    <w:name w:val="封面标准文稿编辑信息2"/>
    <w:basedOn w:val="82"/>
    <w:qFormat/>
    <w:uiPriority w:val="0"/>
    <w:pPr>
      <w:framePr w:y="4469"/>
    </w:pPr>
  </w:style>
  <w:style w:type="paragraph" w:customStyle="1" w:styleId="86">
    <w:name w:val="五级条标题"/>
    <w:basedOn w:val="76"/>
    <w:next w:val="25"/>
    <w:uiPriority w:val="0"/>
    <w:pPr>
      <w:numPr>
        <w:ilvl w:val="5"/>
        <w:numId w:val="2"/>
      </w:numPr>
      <w:outlineLvl w:val="6"/>
    </w:pPr>
  </w:style>
  <w:style w:type="paragraph" w:customStyle="1" w:styleId="87">
    <w:name w:val="正文图标题"/>
    <w:next w:val="25"/>
    <w:qFormat/>
    <w:uiPriority w:val="0"/>
    <w:pPr>
      <w:numPr>
        <w:ilvl w:val="0"/>
        <w:numId w:val="7"/>
      </w:numPr>
      <w:spacing w:beforeLines="50" w:afterLines="50"/>
      <w:jc w:val="center"/>
    </w:pPr>
    <w:rPr>
      <w:rFonts w:ascii="黑体" w:hAnsi="Calibri" w:eastAsia="黑体" w:cs="Times New Roman"/>
      <w:sz w:val="21"/>
      <w:lang w:val="en-US" w:eastAsia="zh-CN" w:bidi="ar-SA"/>
    </w:rPr>
  </w:style>
  <w:style w:type="paragraph" w:customStyle="1" w:styleId="88">
    <w:name w:val="正文公式编号制表符"/>
    <w:basedOn w:val="25"/>
    <w:next w:val="25"/>
    <w:qFormat/>
    <w:uiPriority w:val="0"/>
    <w:pPr>
      <w:ind w:firstLine="0" w:firstLineChars="0"/>
    </w:pPr>
  </w:style>
  <w:style w:type="paragraph" w:customStyle="1" w:styleId="89">
    <w:name w:val="CM4"/>
    <w:basedOn w:val="1"/>
    <w:next w:val="1"/>
    <w:qFormat/>
    <w:uiPriority w:val="99"/>
    <w:pPr>
      <w:autoSpaceDE w:val="0"/>
      <w:autoSpaceDN w:val="0"/>
      <w:adjustRightInd w:val="0"/>
      <w:spacing w:before="60" w:after="60"/>
      <w:jc w:val="left"/>
    </w:pPr>
    <w:rPr>
      <w:rFonts w:ascii="EUAlbertina" w:eastAsia="EUAlbertina"/>
      <w:kern w:val="0"/>
      <w:sz w:val="24"/>
    </w:rPr>
  </w:style>
  <w:style w:type="paragraph" w:customStyle="1" w:styleId="90">
    <w:name w:val="Default"/>
    <w:unhideWhenUsed/>
    <w:qFormat/>
    <w:uiPriority w:val="99"/>
    <w:pPr>
      <w:widowControl w:val="0"/>
      <w:autoSpaceDE w:val="0"/>
      <w:autoSpaceDN w:val="0"/>
      <w:adjustRightInd w:val="0"/>
    </w:pPr>
    <w:rPr>
      <w:rFonts w:hint="eastAsia" w:ascii="EUAlbertina" w:hAnsi="EUAlbertina" w:eastAsia="EUAlbertina" w:cs="Times New Roman"/>
      <w:color w:val="000000"/>
      <w:sz w:val="24"/>
      <w:lang w:val="en-US" w:eastAsia="zh-CN" w:bidi="ar-SA"/>
    </w:rPr>
  </w:style>
  <w:style w:type="paragraph" w:customStyle="1" w:styleId="91">
    <w:name w:val="二级无"/>
    <w:basedOn w:val="48"/>
    <w:qFormat/>
    <w:uiPriority w:val="0"/>
    <w:pPr>
      <w:spacing w:beforeLines="0" w:afterLines="0"/>
    </w:pPr>
    <w:rPr>
      <w:rFonts w:ascii="宋体" w:eastAsia="宋体"/>
    </w:rPr>
  </w:style>
  <w:style w:type="paragraph" w:customStyle="1" w:styleId="92">
    <w:name w:val="_Style 91"/>
    <w:semiHidden/>
    <w:qFormat/>
    <w:uiPriority w:val="99"/>
    <w:rPr>
      <w:rFonts w:ascii="Calibri" w:hAnsi="Calibri" w:eastAsia="宋体" w:cs="Times New Roman"/>
      <w:kern w:val="2"/>
      <w:sz w:val="21"/>
      <w:szCs w:val="24"/>
      <w:lang w:val="en-US" w:eastAsia="zh-CN" w:bidi="ar-SA"/>
    </w:rPr>
  </w:style>
  <w:style w:type="paragraph" w:customStyle="1" w:styleId="93">
    <w:name w:val="其他实施日期"/>
    <w:basedOn w:val="94"/>
    <w:qFormat/>
    <w:uiPriority w:val="0"/>
  </w:style>
  <w:style w:type="paragraph" w:customStyle="1" w:styleId="94">
    <w:name w:val="实施日期"/>
    <w:basedOn w:val="95"/>
    <w:qFormat/>
    <w:uiPriority w:val="0"/>
    <w:pPr>
      <w:framePr w:vAnchor="page" w:hAnchor="text"/>
      <w:jc w:val="right"/>
    </w:pPr>
  </w:style>
  <w:style w:type="paragraph" w:customStyle="1" w:styleId="95">
    <w:name w:val="发布日期"/>
    <w:qFormat/>
    <w:uiPriority w:val="0"/>
    <w:pPr>
      <w:framePr w:w="3997" w:h="471" w:hRule="exact" w:vSpace="181" w:wrap="around" w:vAnchor="margin" w:hAnchor="page" w:x="7089" w:y="14097" w:anchorLock="1"/>
    </w:pPr>
    <w:rPr>
      <w:rFonts w:ascii="Calibri" w:hAnsi="Calibri" w:eastAsia="黑体" w:cs="Times New Roman"/>
      <w:sz w:val="28"/>
      <w:lang w:val="en-US" w:eastAsia="zh-CN" w:bidi="ar-SA"/>
    </w:rPr>
  </w:style>
  <w:style w:type="paragraph" w:customStyle="1" w:styleId="96">
    <w:name w:val="附录四级无"/>
    <w:basedOn w:val="53"/>
    <w:qFormat/>
    <w:uiPriority w:val="0"/>
    <w:pPr>
      <w:tabs>
        <w:tab w:val="clear" w:pos="360"/>
      </w:tabs>
      <w:spacing w:beforeLines="0" w:afterLines="0"/>
    </w:pPr>
    <w:rPr>
      <w:rFonts w:ascii="宋体" w:eastAsia="宋体"/>
      <w:szCs w:val="21"/>
    </w:rPr>
  </w:style>
  <w:style w:type="paragraph" w:customStyle="1" w:styleId="97">
    <w:name w:val="封面标准号1"/>
    <w:qFormat/>
    <w:uiPriority w:val="0"/>
    <w:pPr>
      <w:widowControl w:val="0"/>
      <w:kinsoku w:val="0"/>
      <w:overflowPunct w:val="0"/>
      <w:autoSpaceDE w:val="0"/>
      <w:autoSpaceDN w:val="0"/>
      <w:spacing w:before="308"/>
      <w:jc w:val="right"/>
      <w:textAlignment w:val="center"/>
    </w:pPr>
    <w:rPr>
      <w:rFonts w:ascii="Calibri" w:hAnsi="Calibri" w:eastAsia="宋体" w:cs="Times New Roman"/>
      <w:sz w:val="28"/>
      <w:lang w:val="en-US" w:eastAsia="zh-CN" w:bidi="ar-SA"/>
    </w:rPr>
  </w:style>
  <w:style w:type="paragraph" w:customStyle="1" w:styleId="98">
    <w:name w:val="封面标准名称2"/>
    <w:basedOn w:val="61"/>
    <w:qFormat/>
    <w:uiPriority w:val="0"/>
    <w:pPr>
      <w:framePr w:y="4469"/>
      <w:spacing w:beforeLines="630"/>
    </w:pPr>
  </w:style>
  <w:style w:type="paragraph" w:customStyle="1" w:styleId="99">
    <w:name w:val="附录数字编号列项（二级）"/>
    <w:qFormat/>
    <w:uiPriority w:val="0"/>
    <w:pPr>
      <w:numPr>
        <w:ilvl w:val="1"/>
        <w:numId w:val="8"/>
      </w:numPr>
    </w:pPr>
    <w:rPr>
      <w:rFonts w:ascii="宋体" w:hAnsi="Calibri" w:eastAsia="宋体" w:cs="Times New Roman"/>
      <w:sz w:val="21"/>
      <w:lang w:val="en-US" w:eastAsia="zh-CN" w:bidi="ar-SA"/>
    </w:rPr>
  </w:style>
  <w:style w:type="paragraph" w:customStyle="1" w:styleId="100">
    <w:name w:val="_Style 99"/>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01">
    <w:name w:val="列项——（一级）"/>
    <w:qFormat/>
    <w:uiPriority w:val="0"/>
    <w:pPr>
      <w:widowControl w:val="0"/>
      <w:numPr>
        <w:ilvl w:val="0"/>
        <w:numId w:val="5"/>
      </w:numPr>
      <w:jc w:val="both"/>
    </w:pPr>
    <w:rPr>
      <w:rFonts w:ascii="宋体" w:hAnsi="Calibri" w:eastAsia="宋体" w:cs="Times New Roman"/>
      <w:sz w:val="21"/>
      <w:lang w:val="en-US" w:eastAsia="zh-CN" w:bidi="ar-SA"/>
    </w:rPr>
  </w:style>
  <w:style w:type="paragraph" w:customStyle="1" w:styleId="102">
    <w:name w:val="附录标识"/>
    <w:basedOn w:val="1"/>
    <w:next w:val="25"/>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03">
    <w:name w:val="文献分类号"/>
    <w:qFormat/>
    <w:uiPriority w:val="0"/>
    <w:pPr>
      <w:framePr w:hSpace="180" w:vSpace="180" w:wrap="around" w:vAnchor="margin" w:hAnchor="margin" w:y="1" w:anchorLock="1"/>
      <w:widowControl w:val="0"/>
      <w:textAlignment w:val="center"/>
    </w:pPr>
    <w:rPr>
      <w:rFonts w:ascii="黑体" w:hAnsi="Calibri" w:eastAsia="黑体" w:cs="Times New Roman"/>
      <w:sz w:val="21"/>
      <w:szCs w:val="21"/>
      <w:lang w:val="en-US" w:eastAsia="zh-CN" w:bidi="ar-SA"/>
    </w:rPr>
  </w:style>
  <w:style w:type="paragraph" w:customStyle="1" w:styleId="104">
    <w:name w:val="五级无"/>
    <w:basedOn w:val="86"/>
    <w:qFormat/>
    <w:uiPriority w:val="0"/>
    <w:pPr>
      <w:spacing w:beforeLines="0" w:afterLines="0"/>
    </w:pPr>
    <w:rPr>
      <w:rFonts w:ascii="宋体" w:eastAsia="宋体"/>
    </w:rPr>
  </w:style>
  <w:style w:type="paragraph" w:customStyle="1" w:styleId="105">
    <w:name w:val="示例×："/>
    <w:basedOn w:val="106"/>
    <w:qFormat/>
    <w:uiPriority w:val="0"/>
    <w:pPr>
      <w:numPr>
        <w:ilvl w:val="0"/>
        <w:numId w:val="9"/>
      </w:numPr>
      <w:spacing w:beforeLines="0" w:afterLines="0"/>
      <w:outlineLvl w:val="9"/>
    </w:pPr>
    <w:rPr>
      <w:rFonts w:ascii="宋体" w:eastAsia="宋体"/>
      <w:sz w:val="18"/>
      <w:szCs w:val="18"/>
    </w:rPr>
  </w:style>
  <w:style w:type="paragraph" w:customStyle="1" w:styleId="106">
    <w:name w:val="章标题"/>
    <w:next w:val="25"/>
    <w:link w:val="152"/>
    <w:qFormat/>
    <w:uiPriority w:val="0"/>
    <w:pPr>
      <w:numPr>
        <w:ilvl w:val="0"/>
        <w:numId w:val="2"/>
      </w:numPr>
      <w:spacing w:beforeLines="100" w:afterLines="100"/>
      <w:jc w:val="both"/>
      <w:outlineLvl w:val="1"/>
    </w:pPr>
    <w:rPr>
      <w:rFonts w:ascii="黑体" w:hAnsi="Calibri" w:eastAsia="黑体" w:cs="Times New Roman"/>
      <w:sz w:val="21"/>
      <w:lang w:val="en-US" w:eastAsia="zh-CN" w:bidi="ar-SA"/>
    </w:rPr>
  </w:style>
  <w:style w:type="paragraph" w:customStyle="1" w:styleId="107">
    <w:name w:val="其他发布日期"/>
    <w:basedOn w:val="95"/>
    <w:qFormat/>
    <w:uiPriority w:val="0"/>
    <w:pPr>
      <w:framePr w:vAnchor="page" w:hAnchor="text" w:x="1419"/>
    </w:pPr>
  </w:style>
  <w:style w:type="paragraph" w:customStyle="1" w:styleId="108">
    <w:name w:val="附录一级无"/>
    <w:basedOn w:val="68"/>
    <w:qFormat/>
    <w:uiPriority w:val="0"/>
    <w:pPr>
      <w:spacing w:beforeLines="0" w:afterLines="0"/>
    </w:pPr>
    <w:rPr>
      <w:rFonts w:ascii="宋体" w:eastAsia="宋体"/>
      <w:szCs w:val="21"/>
    </w:rPr>
  </w:style>
  <w:style w:type="paragraph" w:customStyle="1" w:styleId="109">
    <w:name w:val="字母编号列项（一级）"/>
    <w:qFormat/>
    <w:uiPriority w:val="0"/>
    <w:pPr>
      <w:numPr>
        <w:ilvl w:val="0"/>
        <w:numId w:val="10"/>
      </w:numPr>
      <w:jc w:val="both"/>
    </w:pPr>
    <w:rPr>
      <w:rFonts w:ascii="宋体" w:hAnsi="Calibri" w:eastAsia="宋体" w:cs="Times New Roman"/>
      <w:sz w:val="21"/>
      <w:lang w:val="en-US" w:eastAsia="zh-CN" w:bidi="ar-SA"/>
    </w:rPr>
  </w:style>
  <w:style w:type="paragraph" w:customStyle="1" w:styleId="110">
    <w:name w:val="标准书眉_奇数页"/>
    <w:next w:val="1"/>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111">
    <w:name w:val="封面标准号2"/>
    <w:qFormat/>
    <w:uiPriority w:val="0"/>
    <w:pPr>
      <w:framePr w:w="9140" w:h="1242" w:hRule="exact" w:hSpace="284" w:wrap="around" w:vAnchor="page" w:hAnchor="page" w:x="1645" w:y="2910" w:anchorLock="1"/>
      <w:spacing w:before="357" w:line="280" w:lineRule="exact"/>
      <w:jc w:val="right"/>
    </w:pPr>
    <w:rPr>
      <w:rFonts w:ascii="黑体" w:hAnsi="Calibri" w:eastAsia="黑体" w:cs="Times New Roman"/>
      <w:sz w:val="28"/>
      <w:szCs w:val="28"/>
      <w:lang w:val="en-US" w:eastAsia="zh-CN" w:bidi="ar-SA"/>
    </w:rPr>
  </w:style>
  <w:style w:type="paragraph" w:customStyle="1" w:styleId="112">
    <w:name w:val="正文表标题"/>
    <w:next w:val="25"/>
    <w:qFormat/>
    <w:uiPriority w:val="0"/>
    <w:pPr>
      <w:numPr>
        <w:ilvl w:val="0"/>
        <w:numId w:val="11"/>
      </w:numPr>
      <w:tabs>
        <w:tab w:val="left" w:pos="360"/>
      </w:tabs>
      <w:spacing w:beforeLines="50" w:afterLines="50"/>
      <w:jc w:val="center"/>
    </w:pPr>
    <w:rPr>
      <w:rFonts w:ascii="黑体" w:hAnsi="Calibri" w:eastAsia="黑体" w:cs="Times New Roman"/>
      <w:sz w:val="21"/>
      <w:lang w:val="en-US" w:eastAsia="zh-CN" w:bidi="ar-SA"/>
    </w:rPr>
  </w:style>
  <w:style w:type="paragraph" w:customStyle="1" w:styleId="113">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4">
    <w:name w:val="列项◆（三级）"/>
    <w:basedOn w:val="1"/>
    <w:qFormat/>
    <w:uiPriority w:val="0"/>
    <w:pPr>
      <w:numPr>
        <w:ilvl w:val="2"/>
        <w:numId w:val="5"/>
      </w:numPr>
    </w:pPr>
    <w:rPr>
      <w:rFonts w:ascii="宋体"/>
      <w:szCs w:val="21"/>
    </w:rPr>
  </w:style>
  <w:style w:type="paragraph" w:customStyle="1" w:styleId="115">
    <w:name w:val="示例后文字"/>
    <w:basedOn w:val="25"/>
    <w:next w:val="25"/>
    <w:qFormat/>
    <w:uiPriority w:val="0"/>
    <w:pPr>
      <w:ind w:firstLine="360"/>
    </w:pPr>
    <w:rPr>
      <w:sz w:val="18"/>
    </w:rPr>
  </w:style>
  <w:style w:type="paragraph" w:customStyle="1" w:styleId="116">
    <w:name w:val="CM1"/>
    <w:basedOn w:val="1"/>
    <w:next w:val="1"/>
    <w:qFormat/>
    <w:uiPriority w:val="99"/>
    <w:pPr>
      <w:autoSpaceDE w:val="0"/>
      <w:autoSpaceDN w:val="0"/>
      <w:adjustRightInd w:val="0"/>
      <w:spacing w:before="200" w:after="200"/>
      <w:jc w:val="left"/>
    </w:pPr>
    <w:rPr>
      <w:rFonts w:ascii="EUAlbertina" w:eastAsia="EUAlbertina"/>
      <w:kern w:val="0"/>
      <w:sz w:val="24"/>
    </w:rPr>
  </w:style>
  <w:style w:type="paragraph" w:customStyle="1" w:styleId="117">
    <w:name w:val="附录公式"/>
    <w:basedOn w:val="25"/>
    <w:next w:val="25"/>
    <w:link w:val="143"/>
    <w:qFormat/>
    <w:uiPriority w:val="0"/>
  </w:style>
  <w:style w:type="paragraph" w:customStyle="1" w:styleId="118">
    <w:name w:val="附录字母编号列项（一级）"/>
    <w:qFormat/>
    <w:uiPriority w:val="0"/>
    <w:pPr>
      <w:numPr>
        <w:ilvl w:val="0"/>
        <w:numId w:val="8"/>
      </w:numPr>
    </w:pPr>
    <w:rPr>
      <w:rFonts w:ascii="宋体" w:hAnsi="Calibri" w:eastAsia="宋体" w:cs="Times New Roman"/>
      <w:sz w:val="21"/>
      <w:lang w:val="en-US" w:eastAsia="zh-CN" w:bidi="ar-SA"/>
    </w:rPr>
  </w:style>
  <w:style w:type="paragraph" w:customStyle="1" w:styleId="119">
    <w:name w:val="一级无"/>
    <w:basedOn w:val="49"/>
    <w:qFormat/>
    <w:uiPriority w:val="0"/>
    <w:pPr>
      <w:spacing w:beforeLines="0" w:afterLines="0"/>
    </w:pPr>
    <w:rPr>
      <w:rFonts w:ascii="宋体" w:eastAsia="宋体"/>
    </w:rPr>
  </w:style>
  <w:style w:type="paragraph" w:customStyle="1" w:styleId="120">
    <w:name w:val="首示例"/>
    <w:next w:val="25"/>
    <w:link w:val="151"/>
    <w:qFormat/>
    <w:uiPriority w:val="0"/>
    <w:pPr>
      <w:tabs>
        <w:tab w:val="left" w:pos="360"/>
      </w:tabs>
    </w:pPr>
    <w:rPr>
      <w:rFonts w:ascii="宋体" w:hAnsi="宋体" w:eastAsia="宋体" w:cs="Times New Roman"/>
      <w:kern w:val="2"/>
      <w:sz w:val="18"/>
      <w:szCs w:val="18"/>
      <w:lang w:val="en-US" w:eastAsia="zh-CN" w:bidi="ar-SA"/>
    </w:rPr>
  </w:style>
  <w:style w:type="paragraph" w:customStyle="1" w:styleId="121">
    <w:name w:val="列项说明数字编号"/>
    <w:qFormat/>
    <w:uiPriority w:val="0"/>
    <w:pPr>
      <w:ind w:left="600" w:leftChars="400" w:hanging="200" w:hangingChars="200"/>
    </w:pPr>
    <w:rPr>
      <w:rFonts w:ascii="宋体" w:hAnsi="Calibri" w:eastAsia="宋体" w:cs="Times New Roman"/>
      <w:sz w:val="21"/>
      <w:lang w:val="en-US" w:eastAsia="zh-CN" w:bidi="ar-SA"/>
    </w:rPr>
  </w:style>
  <w:style w:type="paragraph" w:customStyle="1" w:styleId="122">
    <w:name w:val="封面标准文稿类别2"/>
    <w:basedOn w:val="83"/>
    <w:qFormat/>
    <w:uiPriority w:val="0"/>
    <w:pPr>
      <w:framePr w:y="4469"/>
    </w:pPr>
  </w:style>
  <w:style w:type="paragraph" w:customStyle="1" w:styleId="123">
    <w:name w:val="标准书脚_偶数页"/>
    <w:qFormat/>
    <w:uiPriority w:val="0"/>
    <w:pPr>
      <w:spacing w:before="120"/>
      <w:ind w:left="221"/>
    </w:pPr>
    <w:rPr>
      <w:rFonts w:ascii="宋体" w:hAnsi="Calibri" w:eastAsia="宋体" w:cs="Times New Roman"/>
      <w:sz w:val="18"/>
      <w:szCs w:val="18"/>
      <w:lang w:val="en-US" w:eastAsia="zh-CN" w:bidi="ar-SA"/>
    </w:rPr>
  </w:style>
  <w:style w:type="paragraph" w:customStyle="1" w:styleId="124">
    <w:name w:val="附录表标题"/>
    <w:basedOn w:val="1"/>
    <w:next w:val="25"/>
    <w:qFormat/>
    <w:uiPriority w:val="0"/>
    <w:pPr>
      <w:numPr>
        <w:ilvl w:val="1"/>
        <w:numId w:val="12"/>
      </w:numPr>
      <w:tabs>
        <w:tab w:val="left" w:pos="180"/>
      </w:tabs>
      <w:spacing w:beforeLines="50" w:afterLines="50"/>
      <w:ind w:left="0" w:firstLine="0"/>
      <w:jc w:val="center"/>
    </w:pPr>
    <w:rPr>
      <w:rFonts w:ascii="黑体" w:eastAsia="黑体"/>
      <w:szCs w:val="21"/>
    </w:rPr>
  </w:style>
  <w:style w:type="paragraph" w:customStyle="1" w:styleId="125">
    <w:name w:val="注：（正文）"/>
    <w:basedOn w:val="126"/>
    <w:next w:val="25"/>
    <w:qFormat/>
    <w:uiPriority w:val="0"/>
    <w:pPr>
      <w:numPr>
        <w:ilvl w:val="0"/>
        <w:numId w:val="13"/>
      </w:numPr>
    </w:pPr>
  </w:style>
  <w:style w:type="paragraph" w:customStyle="1" w:styleId="126">
    <w:name w:val="注："/>
    <w:next w:val="25"/>
    <w:qFormat/>
    <w:uiPriority w:val="0"/>
    <w:pPr>
      <w:widowControl w:val="0"/>
      <w:numPr>
        <w:ilvl w:val="0"/>
        <w:numId w:val="14"/>
      </w:numPr>
      <w:autoSpaceDE w:val="0"/>
      <w:autoSpaceDN w:val="0"/>
      <w:jc w:val="both"/>
    </w:pPr>
    <w:rPr>
      <w:rFonts w:ascii="宋体" w:hAnsi="Calibri" w:eastAsia="宋体" w:cs="Times New Roman"/>
      <w:sz w:val="18"/>
      <w:szCs w:val="18"/>
      <w:lang w:val="en-US" w:eastAsia="zh-CN" w:bidi="ar-SA"/>
    </w:rPr>
  </w:style>
  <w:style w:type="paragraph" w:customStyle="1" w:styleId="127">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28">
    <w:name w:val="附录图标题"/>
    <w:basedOn w:val="1"/>
    <w:next w:val="25"/>
    <w:qFormat/>
    <w:uiPriority w:val="0"/>
    <w:pPr>
      <w:numPr>
        <w:ilvl w:val="1"/>
        <w:numId w:val="3"/>
      </w:numPr>
      <w:tabs>
        <w:tab w:val="left" w:pos="363"/>
      </w:tabs>
      <w:spacing w:beforeLines="50" w:afterLines="50"/>
      <w:ind w:left="0" w:firstLine="0"/>
      <w:jc w:val="center"/>
    </w:pPr>
    <w:rPr>
      <w:rFonts w:ascii="黑体" w:eastAsia="黑体"/>
      <w:szCs w:val="21"/>
    </w:rPr>
  </w:style>
  <w:style w:type="paragraph" w:customStyle="1" w:styleId="129">
    <w:name w:val="其他标准标志"/>
    <w:basedOn w:val="78"/>
    <w:qFormat/>
    <w:uiPriority w:val="0"/>
    <w:pPr>
      <w:framePr w:w="6101" w:vAnchor="page" w:hAnchor="page" w:x="4673" w:y="942"/>
    </w:pPr>
    <w:rPr>
      <w:w w:val="130"/>
    </w:rPr>
  </w:style>
  <w:style w:type="paragraph" w:customStyle="1" w:styleId="130">
    <w:name w:val="附录三级无"/>
    <w:basedOn w:val="54"/>
    <w:qFormat/>
    <w:uiPriority w:val="0"/>
    <w:pPr>
      <w:tabs>
        <w:tab w:val="clear" w:pos="360"/>
      </w:tabs>
      <w:spacing w:beforeLines="0" w:afterLines="0"/>
    </w:pPr>
    <w:rPr>
      <w:rFonts w:ascii="宋体" w:eastAsia="宋体"/>
      <w:szCs w:val="21"/>
    </w:rPr>
  </w:style>
  <w:style w:type="paragraph" w:customStyle="1" w:styleId="131">
    <w:name w:val="示例内容"/>
    <w:qFormat/>
    <w:uiPriority w:val="0"/>
    <w:pPr>
      <w:ind w:firstLine="200" w:firstLineChars="200"/>
    </w:pPr>
    <w:rPr>
      <w:rFonts w:ascii="宋体" w:hAnsi="Calibri" w:eastAsia="宋体" w:cs="Times New Roman"/>
      <w:sz w:val="18"/>
      <w:szCs w:val="18"/>
      <w:lang w:val="en-US" w:eastAsia="zh-CN" w:bidi="ar-SA"/>
    </w:rPr>
  </w:style>
  <w:style w:type="paragraph" w:customStyle="1" w:styleId="132">
    <w:name w:val="数字编号列项（二级）"/>
    <w:qFormat/>
    <w:uiPriority w:val="0"/>
    <w:pPr>
      <w:numPr>
        <w:ilvl w:val="1"/>
        <w:numId w:val="10"/>
      </w:numPr>
      <w:jc w:val="both"/>
    </w:pPr>
    <w:rPr>
      <w:rFonts w:ascii="宋体" w:hAnsi="Calibri" w:eastAsia="宋体" w:cs="Times New Roman"/>
      <w:sz w:val="21"/>
      <w:lang w:val="en-US" w:eastAsia="zh-CN" w:bidi="ar-SA"/>
    </w:rPr>
  </w:style>
  <w:style w:type="paragraph" w:customStyle="1" w:styleId="133">
    <w:name w:val="标准书脚_奇数页"/>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134">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135">
    <w:name w:val="标准书眉_偶数页"/>
    <w:basedOn w:val="110"/>
    <w:next w:val="1"/>
    <w:qFormat/>
    <w:uiPriority w:val="0"/>
    <w:pPr>
      <w:jc w:val="left"/>
    </w:pPr>
  </w:style>
  <w:style w:type="paragraph" w:customStyle="1" w:styleId="136">
    <w:name w:val="图标脚注说明"/>
    <w:basedOn w:val="25"/>
    <w:qFormat/>
    <w:uiPriority w:val="0"/>
    <w:pPr>
      <w:ind w:left="840" w:hanging="420" w:firstLineChars="0"/>
    </w:pPr>
    <w:rPr>
      <w:sz w:val="18"/>
      <w:szCs w:val="18"/>
    </w:rPr>
  </w:style>
  <w:style w:type="paragraph" w:customStyle="1" w:styleId="13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38">
    <w:name w:val="注×：（正文）"/>
    <w:qFormat/>
    <w:uiPriority w:val="0"/>
    <w:pPr>
      <w:numPr>
        <w:ilvl w:val="0"/>
        <w:numId w:val="15"/>
      </w:numPr>
      <w:jc w:val="both"/>
    </w:pPr>
    <w:rPr>
      <w:rFonts w:ascii="宋体" w:hAnsi="Calibri" w:eastAsia="宋体" w:cs="Times New Roman"/>
      <w:sz w:val="18"/>
      <w:szCs w:val="18"/>
      <w:lang w:val="en-US" w:eastAsia="zh-CN" w:bidi="ar-SA"/>
    </w:rPr>
  </w:style>
  <w:style w:type="paragraph" w:customStyle="1" w:styleId="139">
    <w:name w:val="CM3"/>
    <w:basedOn w:val="1"/>
    <w:next w:val="1"/>
    <w:qFormat/>
    <w:uiPriority w:val="99"/>
    <w:pPr>
      <w:autoSpaceDE w:val="0"/>
      <w:autoSpaceDN w:val="0"/>
      <w:adjustRightInd w:val="0"/>
      <w:spacing w:before="60" w:after="60"/>
      <w:jc w:val="left"/>
    </w:pPr>
    <w:rPr>
      <w:rFonts w:ascii="EUAlbertina" w:eastAsia="EUAlbertina"/>
      <w:kern w:val="0"/>
      <w:sz w:val="24"/>
    </w:rPr>
  </w:style>
  <w:style w:type="paragraph" w:customStyle="1" w:styleId="140">
    <w:name w:val="封面标准英文名称2"/>
    <w:basedOn w:val="60"/>
    <w:qFormat/>
    <w:uiPriority w:val="0"/>
    <w:pPr>
      <w:framePr w:y="4469"/>
    </w:pPr>
  </w:style>
  <w:style w:type="paragraph" w:customStyle="1" w:styleId="141">
    <w:name w:val="示例"/>
    <w:next w:val="131"/>
    <w:qFormat/>
    <w:uiPriority w:val="0"/>
    <w:pPr>
      <w:widowControl w:val="0"/>
      <w:numPr>
        <w:ilvl w:val="0"/>
        <w:numId w:val="16"/>
      </w:numPr>
      <w:jc w:val="both"/>
    </w:pPr>
    <w:rPr>
      <w:rFonts w:ascii="宋体" w:hAnsi="Calibri" w:eastAsia="宋体" w:cs="Times New Roman"/>
      <w:sz w:val="18"/>
      <w:szCs w:val="18"/>
      <w:lang w:val="en-US" w:eastAsia="zh-CN" w:bidi="ar-SA"/>
    </w:rPr>
  </w:style>
  <w:style w:type="character" w:customStyle="1" w:styleId="142">
    <w:name w:val="页脚 字符"/>
    <w:link w:val="19"/>
    <w:qFormat/>
    <w:uiPriority w:val="99"/>
    <w:rPr>
      <w:kern w:val="2"/>
      <w:sz w:val="18"/>
      <w:szCs w:val="18"/>
    </w:rPr>
  </w:style>
  <w:style w:type="character" w:customStyle="1" w:styleId="143">
    <w:name w:val="附录公式 Char"/>
    <w:basedOn w:val="144"/>
    <w:link w:val="117"/>
    <w:qFormat/>
    <w:uiPriority w:val="0"/>
  </w:style>
  <w:style w:type="character" w:customStyle="1" w:styleId="144">
    <w:name w:val="段 Char"/>
    <w:link w:val="25"/>
    <w:qFormat/>
    <w:uiPriority w:val="0"/>
    <w:rPr>
      <w:rFonts w:ascii="宋体"/>
      <w:sz w:val="21"/>
      <w:lang w:val="en-US" w:eastAsia="zh-CN" w:bidi="ar-SA"/>
    </w:rPr>
  </w:style>
  <w:style w:type="character" w:customStyle="1" w:styleId="145">
    <w:name w:val="标题 3 字符"/>
    <w:link w:val="4"/>
    <w:qFormat/>
    <w:uiPriority w:val="9"/>
    <w:rPr>
      <w:rFonts w:ascii="宋体" w:hAnsi="宋体" w:cs="宋体"/>
      <w:b/>
      <w:bCs/>
      <w:sz w:val="27"/>
      <w:szCs w:val="27"/>
    </w:rPr>
  </w:style>
  <w:style w:type="character" w:customStyle="1" w:styleId="146">
    <w:name w:val="apple-converted-space"/>
    <w:basedOn w:val="34"/>
    <w:qFormat/>
    <w:uiPriority w:val="0"/>
  </w:style>
  <w:style w:type="character" w:customStyle="1" w:styleId="147">
    <w:name w:val="标题 1 字符"/>
    <w:link w:val="2"/>
    <w:qFormat/>
    <w:uiPriority w:val="0"/>
    <w:rPr>
      <w:b/>
      <w:bCs/>
      <w:kern w:val="44"/>
      <w:sz w:val="44"/>
      <w:szCs w:val="44"/>
    </w:rPr>
  </w:style>
  <w:style w:type="character" w:customStyle="1" w:styleId="148">
    <w:name w:val="访问过的超链接1"/>
    <w:qFormat/>
    <w:uiPriority w:val="0"/>
    <w:rPr>
      <w:color w:val="800080"/>
      <w:u w:val="single"/>
    </w:rPr>
  </w:style>
  <w:style w:type="character" w:customStyle="1" w:styleId="149">
    <w:name w:val="日期 字符"/>
    <w:link w:val="16"/>
    <w:qFormat/>
    <w:uiPriority w:val="0"/>
    <w:rPr>
      <w:kern w:val="2"/>
      <w:sz w:val="21"/>
      <w:szCs w:val="24"/>
    </w:rPr>
  </w:style>
  <w:style w:type="character" w:customStyle="1" w:styleId="150">
    <w:name w:val="批注框文本 字符"/>
    <w:link w:val="18"/>
    <w:qFormat/>
    <w:uiPriority w:val="0"/>
    <w:rPr>
      <w:kern w:val="2"/>
      <w:sz w:val="18"/>
      <w:szCs w:val="18"/>
    </w:rPr>
  </w:style>
  <w:style w:type="character" w:customStyle="1" w:styleId="151">
    <w:name w:val="首示例 Char"/>
    <w:link w:val="120"/>
    <w:qFormat/>
    <w:uiPriority w:val="0"/>
    <w:rPr>
      <w:rFonts w:ascii="宋体" w:hAnsi="宋体"/>
      <w:kern w:val="2"/>
      <w:sz w:val="18"/>
      <w:szCs w:val="18"/>
      <w:lang w:val="en-US" w:eastAsia="zh-CN" w:bidi="ar-SA"/>
    </w:rPr>
  </w:style>
  <w:style w:type="character" w:customStyle="1" w:styleId="152">
    <w:name w:val="章标题 Char"/>
    <w:link w:val="106"/>
    <w:qFormat/>
    <w:uiPriority w:val="0"/>
    <w:rPr>
      <w:rFonts w:ascii="黑体" w:eastAsia="黑体"/>
      <w:sz w:val="21"/>
      <w:lang w:val="en-US" w:eastAsia="zh-CN" w:bidi="ar-SA"/>
    </w:rPr>
  </w:style>
  <w:style w:type="character" w:customStyle="1" w:styleId="153">
    <w:name w:val="发布"/>
    <w:qFormat/>
    <w:uiPriority w:val="0"/>
    <w:rPr>
      <w:rFonts w:ascii="黑体" w:eastAsia="黑体"/>
      <w:spacing w:val="85"/>
      <w:w w:val="100"/>
      <w:position w:val="3"/>
      <w:sz w:val="28"/>
      <w:szCs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microsoft.com/office/2006/relationships/keyMapCustomizations" Target="customizations.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header" Target="header9.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10</Pages>
  <Words>859</Words>
  <Characters>4899</Characters>
  <Lines>40</Lines>
  <Paragraphs>11</Paragraphs>
  <TotalTime>1</TotalTime>
  <ScaleCrop>false</ScaleCrop>
  <LinksUpToDate>false</LinksUpToDate>
  <CharactersWithSpaces>5747</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2018-01-15T06:05:00Z</dcterms:created>
  <dc:creator>CNIS</dc:creator>
  <cp:lastModifiedBy>guanqi</cp:lastModifiedBy>
  <cp:lastPrinted>2018-01-16T03:46:00Z</cp:lastPrinted>
  <dcterms:modified xsi:type="dcterms:W3CDTF">2020-03-19T03:19:02Z</dcterms:modified>
  <dc:title>标准名称</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