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32"/>
          <w:szCs w:val="32"/>
        </w:rPr>
      </w:pPr>
      <w:r>
        <w:rPr>
          <w:rFonts w:hint="eastAsia" w:ascii="黑体" w:hAnsi="宋体" w:eastAsia="黑体"/>
          <w:sz w:val="32"/>
          <w:szCs w:val="32"/>
        </w:rPr>
        <w:t>推荐性电子行业标准项目《印制电路板生产生命周期评价技术规范（产品种类规则）》（</w:t>
      </w:r>
      <w:r>
        <w:rPr>
          <w:rFonts w:hint="eastAsia" w:ascii="黑体" w:hAnsi="宋体" w:eastAsia="黑体"/>
          <w:sz w:val="32"/>
          <w:szCs w:val="32"/>
          <w:lang w:val="en-US" w:eastAsia="zh-CN"/>
        </w:rPr>
        <w:t>标准草案</w:t>
      </w:r>
      <w:r>
        <w:rPr>
          <w:rFonts w:hint="eastAsia" w:ascii="黑体" w:hAnsi="宋体" w:eastAsia="黑体"/>
          <w:sz w:val="32"/>
          <w:szCs w:val="32"/>
        </w:rPr>
        <w:t>）编制说明</w:t>
      </w:r>
    </w:p>
    <w:p>
      <w:pPr>
        <w:rPr>
          <w:rFonts w:hint="eastAsia" w:ascii="宋体" w:hAnsi="宋体"/>
          <w:sz w:val="28"/>
          <w:szCs w:val="28"/>
        </w:rPr>
      </w:pPr>
    </w:p>
    <w:p>
      <w:pPr>
        <w:numPr>
          <w:ilvl w:val="0"/>
          <w:numId w:val="1"/>
        </w:numPr>
        <w:spacing w:line="500" w:lineRule="exact"/>
        <w:rPr>
          <w:rFonts w:hint="eastAsia" w:ascii="宋体" w:hAnsi="宋体"/>
          <w:b/>
          <w:sz w:val="28"/>
          <w:szCs w:val="28"/>
        </w:rPr>
      </w:pPr>
      <w:r>
        <w:rPr>
          <w:rFonts w:hint="eastAsia" w:ascii="宋体" w:hAnsi="宋体"/>
          <w:b/>
          <w:sz w:val="28"/>
          <w:szCs w:val="28"/>
        </w:rPr>
        <w:t>背景及任务来源：</w:t>
      </w:r>
    </w:p>
    <w:p>
      <w:pPr>
        <w:pStyle w:val="2"/>
        <w:spacing w:before="0" w:beforeAutospacing="0" w:after="0" w:afterAutospacing="0" w:line="360" w:lineRule="auto"/>
        <w:ind w:firstLine="565" w:firstLineChars="202"/>
        <w:textAlignment w:val="baseline"/>
        <w:rPr>
          <w:rFonts w:hint="eastAsia"/>
          <w:sz w:val="28"/>
          <w:szCs w:val="28"/>
        </w:rPr>
      </w:pPr>
      <w:r>
        <w:rPr>
          <w:rFonts w:hint="eastAsia"/>
          <w:sz w:val="28"/>
          <w:szCs w:val="28"/>
        </w:rPr>
        <w:t>20</w:t>
      </w:r>
      <w:r>
        <w:rPr>
          <w:rFonts w:hint="eastAsia"/>
          <w:sz w:val="28"/>
          <w:szCs w:val="28"/>
          <w:lang w:val="en-US" w:eastAsia="zh-CN"/>
        </w:rPr>
        <w:t>20</w:t>
      </w:r>
      <w:r>
        <w:rPr>
          <w:rFonts w:hint="eastAsia"/>
          <w:sz w:val="28"/>
          <w:szCs w:val="28"/>
        </w:rPr>
        <w:t>年，工业和信息化部发布的“关于印发2020年第三批行业标准制修订和外文版项目计划的通知”（工信厅科函[2020]263号）要求，提出要围绕制造强国和网络强国建设，以建立健全满足产业高质量发展的新型标准体系为出发点，进一步加强重点专项标准和基础公益类标准制定，提升标准技术水平、创新能力和国际化程度。工业和信息化部组织相关重点行业积极开展标准的</w:t>
      </w:r>
      <w:r>
        <w:rPr>
          <w:rFonts w:hint="eastAsia"/>
          <w:sz w:val="28"/>
          <w:szCs w:val="28"/>
          <w:lang w:val="en-US" w:eastAsia="zh-CN"/>
        </w:rPr>
        <w:t>制修订</w:t>
      </w:r>
      <w:r>
        <w:rPr>
          <w:rFonts w:hint="eastAsia"/>
          <w:sz w:val="28"/>
          <w:szCs w:val="28"/>
        </w:rPr>
        <w:t>工作。</w:t>
      </w:r>
    </w:p>
    <w:p>
      <w:pPr>
        <w:pStyle w:val="2"/>
        <w:spacing w:before="0" w:beforeAutospacing="0" w:after="0" w:afterAutospacing="0" w:line="360" w:lineRule="auto"/>
        <w:ind w:firstLine="565" w:firstLineChars="202"/>
        <w:textAlignment w:val="baseline"/>
        <w:rPr>
          <w:rFonts w:hint="eastAsia"/>
          <w:sz w:val="28"/>
          <w:szCs w:val="28"/>
        </w:rPr>
      </w:pPr>
      <w:r>
        <w:rPr>
          <w:rFonts w:hint="eastAsia"/>
          <w:sz w:val="28"/>
          <w:szCs w:val="28"/>
        </w:rPr>
        <w:t>根据《2020年第三批行业标准制修订和外文版项目计划》，由工业和信息化部节能与综合利用司提出的推荐性电子行业标准项目《印制电路板生产生命周期评价技术规范（产品种类规则）》正式立项，项目编号：</w:t>
      </w:r>
      <w:r>
        <w:rPr>
          <w:sz w:val="28"/>
          <w:szCs w:val="28"/>
        </w:rPr>
        <w:fldChar w:fldCharType="begin"/>
      </w:r>
      <w:r>
        <w:rPr>
          <w:sz w:val="28"/>
          <w:szCs w:val="28"/>
        </w:rPr>
        <w:instrText xml:space="preserve"> HYPERLINK "http://219.239.107.155:8080/TaskBook.aspx?id=SJJNZT29452020" </w:instrText>
      </w:r>
      <w:r>
        <w:rPr>
          <w:sz w:val="28"/>
          <w:szCs w:val="28"/>
        </w:rPr>
        <w:fldChar w:fldCharType="separate"/>
      </w:r>
      <w:r>
        <w:rPr>
          <w:sz w:val="28"/>
          <w:szCs w:val="28"/>
        </w:rPr>
        <w:t>2021-</w:t>
      </w:r>
      <w:r>
        <w:rPr>
          <w:rFonts w:hint="eastAsia"/>
          <w:sz w:val="28"/>
          <w:szCs w:val="28"/>
          <w:lang w:val="en-US" w:eastAsia="zh-CN"/>
        </w:rPr>
        <w:t>1801</w:t>
      </w:r>
      <w:r>
        <w:rPr>
          <w:sz w:val="28"/>
          <w:szCs w:val="28"/>
        </w:rPr>
        <w:t>T-SJ</w:t>
      </w:r>
      <w:r>
        <w:rPr>
          <w:sz w:val="28"/>
          <w:szCs w:val="28"/>
        </w:rPr>
        <w:fldChar w:fldCharType="end"/>
      </w:r>
      <w:r>
        <w:rPr>
          <w:rFonts w:hint="eastAsia"/>
          <w:sz w:val="28"/>
          <w:szCs w:val="28"/>
        </w:rPr>
        <w:t>。</w:t>
      </w:r>
    </w:p>
    <w:p>
      <w:pPr>
        <w:pStyle w:val="2"/>
        <w:spacing w:before="0" w:beforeAutospacing="0" w:after="0" w:afterAutospacing="0" w:line="360" w:lineRule="auto"/>
        <w:ind w:firstLine="565" w:firstLineChars="202"/>
        <w:textAlignment w:val="baseline"/>
        <w:rPr>
          <w:sz w:val="28"/>
          <w:szCs w:val="28"/>
        </w:rPr>
      </w:pPr>
      <w:r>
        <w:rPr>
          <w:rFonts w:hint="eastAsia"/>
          <w:sz w:val="28"/>
          <w:szCs w:val="28"/>
        </w:rPr>
        <w:t>本标准项目由工业和信息化部电器电子产品污染防治标准工作组（以下简称“标准工作组”）组织制定。</w:t>
      </w:r>
    </w:p>
    <w:p>
      <w:pPr>
        <w:numPr>
          <w:ilvl w:val="0"/>
          <w:numId w:val="1"/>
        </w:numPr>
        <w:spacing w:line="500" w:lineRule="exact"/>
        <w:rPr>
          <w:rFonts w:ascii="宋体" w:hAnsi="宋体"/>
          <w:b/>
          <w:sz w:val="28"/>
          <w:szCs w:val="28"/>
        </w:rPr>
      </w:pPr>
      <w:r>
        <w:rPr>
          <w:rFonts w:hint="eastAsia" w:ascii="宋体" w:hAnsi="宋体"/>
          <w:b/>
          <w:sz w:val="28"/>
          <w:szCs w:val="28"/>
        </w:rPr>
        <w:t>产品评价标准总体框架和指标确定原则：</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标准的制定遵循了适用性、科学性和可操作性原则。标准工作组对国内外引线框架标准情况进行了收集和分析，并在调研和验证的基础上起草的。标准编写按照《中华人民共和国标准法》及其《实施细则》GB/T1.1—2009《标准化工作导则 第1部分：标准的结构和编写》，进行本标准的制订工作。</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本着“技术先进、符合国情”的指导思想，在原标准的基础上，参照其它同类标准体系结构、内容框架一致，易于企业理解、掌握，使用便捷。</w:t>
      </w:r>
    </w:p>
    <w:p>
      <w:pPr>
        <w:numPr>
          <w:ilvl w:val="0"/>
          <w:numId w:val="2"/>
        </w:numPr>
        <w:ind w:left="0" w:leftChars="0" w:firstLine="560" w:firstLineChars="200"/>
        <w:rPr>
          <w:rFonts w:hint="eastAsia" w:ascii="宋体" w:hAnsi="宋体"/>
          <w:color w:val="000000"/>
          <w:sz w:val="28"/>
          <w:szCs w:val="28"/>
        </w:rPr>
      </w:pPr>
      <w:r>
        <w:rPr>
          <w:rFonts w:hint="eastAsia" w:ascii="宋体" w:hAnsi="宋体"/>
          <w:color w:val="000000"/>
          <w:sz w:val="28"/>
          <w:szCs w:val="28"/>
        </w:rPr>
        <w:t>以满足用户需求为目的，兼顾下游实际需求，既要提高标准技术水平，促进企业技术进步，提高产品质量；同时又有利于合理利用资源，降低成本，提高经济效益，保护贸易双方利益，促进对外贸易。</w:t>
      </w:r>
    </w:p>
    <w:p>
      <w:pPr>
        <w:numPr>
          <w:ilvl w:val="0"/>
          <w:numId w:val="1"/>
        </w:numPr>
        <w:spacing w:line="500" w:lineRule="exact"/>
        <w:rPr>
          <w:rFonts w:hint="eastAsia" w:ascii="宋体" w:hAnsi="宋体"/>
          <w:b/>
          <w:sz w:val="28"/>
          <w:szCs w:val="28"/>
        </w:rPr>
      </w:pPr>
      <w:r>
        <w:rPr>
          <w:rFonts w:hint="eastAsia" w:ascii="宋体" w:hAnsi="宋体"/>
          <w:b/>
          <w:sz w:val="28"/>
          <w:szCs w:val="28"/>
        </w:rPr>
        <w:t>标准主要制定过程</w:t>
      </w:r>
    </w:p>
    <w:p>
      <w:pPr>
        <w:ind w:firstLine="565" w:firstLineChars="202"/>
        <w:rPr>
          <w:rFonts w:hint="eastAsia" w:ascii="宋体" w:hAnsi="宋体"/>
          <w:sz w:val="28"/>
          <w:szCs w:val="28"/>
        </w:rPr>
      </w:pPr>
      <w:r>
        <w:rPr>
          <w:rFonts w:hint="eastAsia" w:ascii="宋体" w:hAnsi="宋体"/>
          <w:sz w:val="28"/>
          <w:szCs w:val="28"/>
        </w:rPr>
        <w:t>标准工作组在接到任务后，于202</w:t>
      </w:r>
      <w:r>
        <w:rPr>
          <w:rFonts w:hint="eastAsia" w:ascii="宋体" w:hAnsi="宋体"/>
          <w:sz w:val="28"/>
          <w:szCs w:val="28"/>
          <w:lang w:val="en-US" w:eastAsia="zh-CN"/>
        </w:rPr>
        <w:t>0</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月以电子邮件的形式组织标准工作组内单位报名标准制定，并根据报名情况组成起草组。标准的起草组成员由标准制定机构、研究机构、产业协会、企业专家、等相关方组成。</w:t>
      </w:r>
    </w:p>
    <w:p>
      <w:pPr>
        <w:ind w:firstLine="565" w:firstLineChars="202"/>
        <w:rPr>
          <w:rFonts w:hint="default" w:ascii="宋体" w:hAnsi="宋体" w:eastAsia="黑体"/>
          <w:sz w:val="28"/>
          <w:szCs w:val="28"/>
          <w:lang w:val="en-US" w:eastAsia="zh-CN"/>
        </w:rPr>
      </w:pPr>
      <w:r>
        <w:rPr>
          <w:rFonts w:hint="eastAsia" w:ascii="宋体" w:hAnsi="宋体"/>
          <w:sz w:val="28"/>
          <w:szCs w:val="28"/>
          <w:lang w:val="en-US" w:eastAsia="zh-CN"/>
        </w:rPr>
        <w:t>2021年12月10日形成</w:t>
      </w:r>
      <w:r>
        <w:rPr>
          <w:rFonts w:hint="eastAsia" w:ascii="宋体" w:hAnsi="宋体"/>
          <w:sz w:val="28"/>
          <w:szCs w:val="28"/>
        </w:rPr>
        <w:t>《印制电路板生产生命周期评价技术规范（产品种类规则）》</w:t>
      </w:r>
      <w:r>
        <w:rPr>
          <w:rFonts w:hint="eastAsia" w:ascii="宋体" w:hAnsi="宋体"/>
          <w:sz w:val="28"/>
          <w:szCs w:val="28"/>
          <w:lang w:val="en-US" w:eastAsia="zh-CN"/>
        </w:rPr>
        <w:t>标准草案。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cs="Times New Roman"/>
          <w:sz w:val="28"/>
          <w:szCs w:val="28"/>
          <w:lang w:val="en-US" w:eastAsia="zh-CN"/>
        </w:rPr>
      </w:pPr>
      <w:r>
        <w:rPr>
          <w:rFonts w:hint="eastAsia" w:ascii="宋体" w:hAnsi="宋体"/>
          <w:sz w:val="28"/>
          <w:szCs w:val="28"/>
          <w:lang w:val="en-US" w:eastAsia="zh-CN"/>
        </w:rPr>
        <w:t>2021年1月25日，标准工作组召开“</w:t>
      </w:r>
      <w:r>
        <w:rPr>
          <w:rFonts w:hint="eastAsia" w:ascii="宋体" w:hAnsi="宋体" w:cs="Times New Roman"/>
          <w:sz w:val="28"/>
          <w:szCs w:val="28"/>
          <w:lang w:val="en-US" w:eastAsia="zh-CN"/>
        </w:rPr>
        <w:t>关于《印制电路板生产生命周期评价技术规范（产品种类规则）》电子行业标准起草会</w:t>
      </w:r>
      <w:r>
        <w:rPr>
          <w:rFonts w:hint="default" w:ascii="宋体" w:hAnsi="宋体" w:cs="Times New Roman"/>
          <w:sz w:val="28"/>
          <w:szCs w:val="28"/>
          <w:lang w:val="en-US" w:eastAsia="zh-CN"/>
        </w:rPr>
        <w:t>”</w:t>
      </w:r>
      <w:r>
        <w:rPr>
          <w:rFonts w:hint="eastAsia" w:ascii="宋体" w:hAnsi="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cs="Times New Roman"/>
          <w:sz w:val="28"/>
          <w:szCs w:val="28"/>
          <w:lang w:val="en-US" w:eastAsia="zh-CN"/>
        </w:rPr>
      </w:pPr>
      <w:r>
        <w:rPr>
          <w:rFonts w:hint="eastAsia" w:ascii="宋体" w:hAnsi="宋体" w:cs="Times New Roman"/>
          <w:sz w:val="28"/>
          <w:szCs w:val="28"/>
          <w:lang w:val="en-US" w:eastAsia="zh-CN"/>
        </w:rPr>
        <w:t>2022年4月1日，标准工作组根据起草会专家提出的意见对标准草案进行修改，形成标准征求意见稿，面向行业公开征求意见。</w:t>
      </w:r>
    </w:p>
    <w:p>
      <w:pPr>
        <w:numPr>
          <w:ilvl w:val="0"/>
          <w:numId w:val="1"/>
        </w:numPr>
        <w:spacing w:line="500" w:lineRule="exact"/>
        <w:rPr>
          <w:rFonts w:hint="eastAsia" w:ascii="宋体" w:hAnsi="宋体"/>
          <w:b/>
          <w:sz w:val="28"/>
          <w:szCs w:val="28"/>
        </w:rPr>
      </w:pPr>
      <w:r>
        <w:rPr>
          <w:rFonts w:hint="eastAsia" w:ascii="宋体" w:hAnsi="宋体"/>
          <w:b/>
          <w:sz w:val="28"/>
          <w:szCs w:val="28"/>
        </w:rPr>
        <w:t>标准适用范围说明</w:t>
      </w:r>
    </w:p>
    <w:p>
      <w:pPr>
        <w:spacing w:line="360" w:lineRule="auto"/>
        <w:ind w:firstLine="560" w:firstLineChars="200"/>
        <w:textAlignment w:val="baseline"/>
        <w:rPr>
          <w:rFonts w:hint="eastAsia" w:ascii="宋体" w:hAnsi="宋体" w:cs="Arial"/>
          <w:color w:val="000000"/>
          <w:sz w:val="28"/>
          <w:szCs w:val="28"/>
          <w:shd w:val="clear" w:color="auto" w:fill="FFFFFF"/>
        </w:rPr>
      </w:pPr>
      <w:r>
        <w:rPr>
          <w:rFonts w:hint="eastAsia" w:ascii="宋体" w:hAnsi="宋体" w:cs="Arial"/>
          <w:color w:val="000000"/>
          <w:sz w:val="28"/>
          <w:szCs w:val="28"/>
          <w:shd w:val="clear" w:color="auto" w:fill="FFFFFF"/>
        </w:rPr>
        <w:t>本标准规定了印制电路板生产生命周期评价的基本规则和要求。本标准适用于印制电路板产品。</w:t>
      </w:r>
    </w:p>
    <w:p>
      <w:pPr>
        <w:numPr>
          <w:ilvl w:val="0"/>
          <w:numId w:val="1"/>
        </w:numPr>
        <w:spacing w:line="500" w:lineRule="exact"/>
        <w:rPr>
          <w:rFonts w:hint="eastAsia" w:ascii="宋体" w:hAnsi="宋体"/>
          <w:b/>
          <w:sz w:val="28"/>
          <w:szCs w:val="28"/>
        </w:rPr>
      </w:pPr>
      <w:r>
        <w:rPr>
          <w:rFonts w:hint="eastAsia" w:ascii="宋体" w:hAnsi="宋体"/>
          <w:b/>
          <w:sz w:val="28"/>
          <w:szCs w:val="28"/>
        </w:rPr>
        <w:t>标准与其他国外先进标准的关系</w:t>
      </w:r>
    </w:p>
    <w:p>
      <w:pPr>
        <w:ind w:firstLine="565" w:firstLineChars="202"/>
        <w:rPr>
          <w:rFonts w:hint="eastAsia" w:ascii="宋体" w:hAnsi="宋体"/>
          <w:sz w:val="28"/>
          <w:szCs w:val="28"/>
          <w:lang w:val="en-US" w:eastAsia="zh-CN"/>
        </w:rPr>
      </w:pPr>
      <w:r>
        <w:rPr>
          <w:rFonts w:hint="eastAsia" w:ascii="宋体" w:hAnsi="宋体"/>
          <w:sz w:val="28"/>
          <w:szCs w:val="28"/>
          <w:lang w:val="en-US" w:eastAsia="zh-CN"/>
        </w:rPr>
        <w:t>对国内外相关联标准检索：</w:t>
      </w:r>
    </w:p>
    <w:p>
      <w:pPr>
        <w:ind w:firstLine="565" w:firstLineChars="202"/>
        <w:jc w:val="both"/>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ISO14024:1999,Environmental Management-Environmental labels </w:t>
      </w:r>
      <w:r>
        <w:rPr>
          <w:rFonts w:hint="eastAsia"/>
          <w:sz w:val="28"/>
          <w:szCs w:val="28"/>
          <w:lang w:val="en-US" w:eastAsia="zh-CN"/>
        </w:rPr>
        <w:t xml:space="preserve">and </w:t>
      </w:r>
      <w:r>
        <w:rPr>
          <w:rFonts w:hint="eastAsia" w:ascii="Times New Roman" w:hAnsi="Times New Roman"/>
          <w:sz w:val="28"/>
          <w:szCs w:val="28"/>
          <w:lang w:val="en-US" w:eastAsia="zh-CN"/>
        </w:rPr>
        <w:t xml:space="preserve">declarations-Type </w:t>
      </w:r>
      <w:r>
        <w:rPr>
          <w:rFonts w:hint="default" w:ascii="Times New Roman" w:hAnsi="Times New Roman" w:cs="Times New Roman"/>
          <w:sz w:val="28"/>
          <w:szCs w:val="28"/>
          <w:lang w:val="en-US" w:eastAsia="zh-CN"/>
        </w:rPr>
        <w:t>Ⅰ</w:t>
      </w:r>
      <w:r>
        <w:rPr>
          <w:rFonts w:hint="eastAsia" w:ascii="Times New Roman" w:hAnsi="Times New Roman"/>
          <w:sz w:val="28"/>
          <w:szCs w:val="28"/>
          <w:lang w:val="en-US" w:eastAsia="zh-CN"/>
        </w:rPr>
        <w:t xml:space="preserve"> environmental labelling-Principles and procedures,IDT</w:t>
      </w:r>
    </w:p>
    <w:p>
      <w:pPr>
        <w:ind w:firstLine="565" w:firstLineChars="202"/>
        <w:rPr>
          <w:rFonts w:hint="eastAsia" w:ascii="Times New Roman" w:hAnsi="Times New Roman"/>
          <w:sz w:val="28"/>
          <w:szCs w:val="28"/>
          <w:lang w:val="en-US" w:eastAsia="zh-CN"/>
        </w:rPr>
      </w:pPr>
      <w:r>
        <w:rPr>
          <w:rFonts w:hint="eastAsia" w:ascii="Times New Roman" w:hAnsi="Times New Roman"/>
          <w:sz w:val="28"/>
          <w:szCs w:val="28"/>
          <w:lang w:val="en-US" w:eastAsia="zh-CN"/>
        </w:rPr>
        <w:t>ISO 14025:2006,</w:t>
      </w:r>
      <w:r>
        <w:rPr>
          <w:rFonts w:hint="eastAsia"/>
          <w:sz w:val="28"/>
          <w:szCs w:val="28"/>
          <w:lang w:val="en-US" w:eastAsia="zh-CN"/>
        </w:rPr>
        <w:t xml:space="preserve"> </w:t>
      </w:r>
      <w:r>
        <w:rPr>
          <w:rFonts w:hint="eastAsia" w:ascii="Times New Roman" w:hAnsi="Times New Roman"/>
          <w:sz w:val="28"/>
          <w:szCs w:val="28"/>
          <w:lang w:val="en-US" w:eastAsia="zh-CN"/>
        </w:rPr>
        <w:t>Environmental labels and declarations-Type Ⅲ environmental declarations declarations-Princeiples and procedures IDT</w:t>
      </w:r>
    </w:p>
    <w:p>
      <w:pPr>
        <w:ind w:firstLine="565" w:firstLineChars="202"/>
        <w:rPr>
          <w:rFonts w:hint="eastAsia" w:ascii="Times New Roman" w:hAnsi="Times New Roman"/>
          <w:sz w:val="28"/>
          <w:szCs w:val="28"/>
          <w:lang w:val="en-US" w:eastAsia="zh-CN"/>
        </w:rPr>
      </w:pPr>
      <w:r>
        <w:rPr>
          <w:rFonts w:hint="eastAsia"/>
          <w:sz w:val="28"/>
          <w:szCs w:val="28"/>
          <w:lang w:val="en-US" w:eastAsia="zh-CN"/>
        </w:rPr>
        <w:t xml:space="preserve">ISO </w:t>
      </w:r>
      <w:r>
        <w:rPr>
          <w:rFonts w:hint="eastAsia" w:ascii="Times New Roman" w:hAnsi="Times New Roman"/>
          <w:sz w:val="28"/>
          <w:szCs w:val="28"/>
          <w:lang w:val="en-US" w:eastAsia="zh-CN"/>
        </w:rPr>
        <w:t>14040:2006,Environmental management-Life cycle assessment-Requirements and guidelines,IDT</w:t>
      </w:r>
    </w:p>
    <w:p>
      <w:pPr>
        <w:spacing w:line="360" w:lineRule="auto"/>
        <w:ind w:firstLine="424" w:firstLineChars="202"/>
        <w:rPr>
          <w:rFonts w:hint="eastAsia" w:ascii="宋体" w:hAnsi="宋体" w:eastAsia="宋体" w:cs="宋体"/>
          <w:sz w:val="21"/>
          <w:szCs w:val="21"/>
          <w:lang w:val="en-US" w:eastAsia="zh-CN"/>
        </w:rPr>
      </w:pPr>
    </w:p>
    <w:p>
      <w:pPr>
        <w:numPr>
          <w:ilvl w:val="0"/>
          <w:numId w:val="1"/>
        </w:numPr>
        <w:spacing w:line="500" w:lineRule="exact"/>
        <w:rPr>
          <w:rFonts w:hint="eastAsia" w:ascii="宋体" w:hAnsi="宋体"/>
          <w:b/>
          <w:sz w:val="28"/>
          <w:szCs w:val="28"/>
        </w:rPr>
      </w:pPr>
      <w:r>
        <w:rPr>
          <w:rFonts w:hint="eastAsia" w:ascii="宋体" w:hAnsi="宋体"/>
          <w:b/>
          <w:sz w:val="28"/>
          <w:szCs w:val="28"/>
        </w:rPr>
        <w:t>知识产权情况说明</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本标准不涉及任何专利及知识产权问题。</w:t>
      </w:r>
    </w:p>
    <w:p>
      <w:pPr>
        <w:numPr>
          <w:ilvl w:val="0"/>
          <w:numId w:val="1"/>
        </w:numPr>
        <w:spacing w:line="500" w:lineRule="exact"/>
        <w:rPr>
          <w:rFonts w:hint="eastAsia" w:ascii="宋体" w:hAnsi="宋体"/>
          <w:b/>
          <w:sz w:val="28"/>
          <w:szCs w:val="28"/>
        </w:rPr>
      </w:pPr>
      <w:r>
        <w:rPr>
          <w:rFonts w:hint="eastAsia" w:ascii="宋体" w:hAnsi="宋体"/>
          <w:b/>
          <w:sz w:val="28"/>
          <w:szCs w:val="28"/>
        </w:rPr>
        <w:t>与现行相关法律、法规、规章及相关标准的协调性</w:t>
      </w:r>
    </w:p>
    <w:p>
      <w:pPr>
        <w:pStyle w:val="5"/>
        <w:spacing w:line="360" w:lineRule="auto"/>
        <w:ind w:firstLine="560"/>
        <w:rPr>
          <w:rFonts w:hint="eastAsia" w:hAnsi="宋体"/>
          <w:b/>
          <w:sz w:val="28"/>
          <w:szCs w:val="28"/>
        </w:rPr>
      </w:pPr>
      <w:r>
        <w:rPr>
          <w:rFonts w:hint="eastAsia" w:hAnsi="宋体"/>
          <w:sz w:val="28"/>
          <w:szCs w:val="28"/>
        </w:rPr>
        <w:t>本标准符合相关法律、法规，与其他标准是协调的，不存在任何抵触现象。</w:t>
      </w:r>
    </w:p>
    <w:p>
      <w:pPr>
        <w:numPr>
          <w:ilvl w:val="0"/>
          <w:numId w:val="1"/>
        </w:numPr>
        <w:spacing w:line="500" w:lineRule="exact"/>
        <w:rPr>
          <w:rFonts w:hint="eastAsia" w:ascii="宋体" w:hAnsi="宋体"/>
          <w:b/>
          <w:sz w:val="28"/>
          <w:szCs w:val="28"/>
        </w:rPr>
      </w:pPr>
      <w:r>
        <w:rPr>
          <w:rFonts w:hint="eastAsia" w:ascii="宋体" w:hAnsi="宋体"/>
          <w:b/>
          <w:sz w:val="28"/>
          <w:szCs w:val="28"/>
        </w:rPr>
        <w:t>标准性质的建议</w:t>
      </w:r>
    </w:p>
    <w:p>
      <w:pPr>
        <w:pStyle w:val="5"/>
        <w:spacing w:line="360" w:lineRule="auto"/>
        <w:ind w:firstLine="560"/>
        <w:rPr>
          <w:rFonts w:hint="eastAsia" w:hAnsi="宋体"/>
          <w:sz w:val="28"/>
          <w:szCs w:val="28"/>
        </w:rPr>
      </w:pPr>
      <w:r>
        <w:rPr>
          <w:rFonts w:hint="eastAsia" w:hAnsi="宋体"/>
          <w:sz w:val="28"/>
          <w:szCs w:val="28"/>
        </w:rPr>
        <w:t>本标准为推荐性电子行业标准。</w:t>
      </w:r>
    </w:p>
    <w:p>
      <w:pPr>
        <w:numPr>
          <w:ilvl w:val="0"/>
          <w:numId w:val="1"/>
        </w:numPr>
        <w:spacing w:line="500" w:lineRule="exact"/>
        <w:rPr>
          <w:rFonts w:hint="eastAsia" w:ascii="宋体" w:hAnsi="宋体"/>
          <w:b/>
          <w:sz w:val="28"/>
          <w:szCs w:val="28"/>
        </w:rPr>
      </w:pPr>
      <w:r>
        <w:rPr>
          <w:rFonts w:hint="eastAsia" w:ascii="宋体" w:hAnsi="宋体"/>
          <w:b/>
          <w:sz w:val="28"/>
          <w:szCs w:val="28"/>
        </w:rPr>
        <w:t>贯彻标准的要求和措施建议</w:t>
      </w:r>
    </w:p>
    <w:p>
      <w:pPr>
        <w:pStyle w:val="5"/>
        <w:spacing w:line="360" w:lineRule="auto"/>
        <w:ind w:firstLine="560"/>
        <w:rPr>
          <w:rFonts w:hint="eastAsia" w:hAnsi="宋体"/>
          <w:sz w:val="28"/>
          <w:szCs w:val="28"/>
        </w:rPr>
      </w:pPr>
      <w:r>
        <w:rPr>
          <w:rFonts w:hint="eastAsia" w:hAnsi="宋体"/>
          <w:sz w:val="28"/>
          <w:szCs w:val="28"/>
        </w:rPr>
        <w:t>建议在完成报批后尽快发布，并建议于发布之日起实施。</w:t>
      </w:r>
    </w:p>
    <w:p>
      <w:pPr>
        <w:numPr>
          <w:ilvl w:val="0"/>
          <w:numId w:val="1"/>
        </w:numPr>
        <w:tabs>
          <w:tab w:val="left" w:pos="851"/>
          <w:tab w:val="clear" w:pos="720"/>
        </w:tabs>
        <w:spacing w:line="500" w:lineRule="exact"/>
        <w:rPr>
          <w:rFonts w:hint="eastAsia" w:ascii="宋体" w:hAnsi="宋体"/>
          <w:b/>
          <w:sz w:val="28"/>
          <w:szCs w:val="28"/>
        </w:rPr>
      </w:pPr>
      <w:r>
        <w:rPr>
          <w:rFonts w:hint="eastAsia" w:ascii="宋体" w:hAnsi="宋体"/>
          <w:b/>
          <w:sz w:val="28"/>
          <w:szCs w:val="28"/>
        </w:rPr>
        <w:t>替代或废止现行相关标准的建议</w:t>
      </w:r>
    </w:p>
    <w:p>
      <w:pPr>
        <w:pStyle w:val="5"/>
        <w:spacing w:line="360" w:lineRule="auto"/>
        <w:ind w:firstLine="560"/>
        <w:rPr>
          <w:rFonts w:hint="eastAsia" w:hAnsi="宋体"/>
          <w:color w:val="000000"/>
          <w:sz w:val="28"/>
          <w:szCs w:val="28"/>
        </w:rPr>
      </w:pPr>
      <w:r>
        <w:rPr>
          <w:rFonts w:hint="eastAsia" w:hAnsi="宋体"/>
          <w:color w:val="000000"/>
          <w:sz w:val="28"/>
          <w:szCs w:val="28"/>
        </w:rPr>
        <w:t>无</w:t>
      </w:r>
    </w:p>
    <w:p>
      <w:pPr>
        <w:pStyle w:val="5"/>
        <w:spacing w:line="360" w:lineRule="auto"/>
        <w:ind w:firstLine="560"/>
        <w:rPr>
          <w:rFonts w:hint="eastAsia" w:hAnsi="宋体"/>
          <w:color w:val="000000"/>
          <w:sz w:val="28"/>
          <w:szCs w:val="28"/>
        </w:rPr>
      </w:pPr>
    </w:p>
    <w:p>
      <w:pPr>
        <w:pStyle w:val="5"/>
        <w:spacing w:line="360" w:lineRule="auto"/>
        <w:ind w:firstLine="560"/>
        <w:jc w:val="center"/>
        <w:rPr>
          <w:rFonts w:hint="eastAsia" w:hAnsi="宋体"/>
          <w:color w:val="000000"/>
          <w:sz w:val="28"/>
          <w:szCs w:val="28"/>
        </w:rPr>
      </w:pPr>
      <w:r>
        <w:rPr>
          <w:rFonts w:hint="eastAsia" w:hAnsi="宋体"/>
          <w:color w:val="000000"/>
          <w:sz w:val="28"/>
          <w:szCs w:val="28"/>
        </w:rPr>
        <w:t xml:space="preserve">                            标准编制工作组</w:t>
      </w:r>
    </w:p>
    <w:p>
      <w:pPr>
        <w:pStyle w:val="5"/>
        <w:spacing w:line="360" w:lineRule="auto"/>
        <w:ind w:firstLine="560"/>
        <w:jc w:val="center"/>
        <w:rPr>
          <w:rFonts w:hint="eastAsia" w:hAnsi="宋体"/>
          <w:color w:val="000000"/>
          <w:sz w:val="28"/>
          <w:szCs w:val="28"/>
        </w:rPr>
      </w:pPr>
      <w:r>
        <w:rPr>
          <w:rFonts w:hint="eastAsia" w:hAnsi="宋体"/>
          <w:color w:val="000000"/>
          <w:sz w:val="28"/>
          <w:szCs w:val="28"/>
        </w:rPr>
        <w:t xml:space="preserve">                            202</w:t>
      </w:r>
      <w:r>
        <w:rPr>
          <w:rFonts w:hint="eastAsia" w:hAnsi="宋体"/>
          <w:color w:val="000000"/>
          <w:sz w:val="28"/>
          <w:szCs w:val="28"/>
          <w:lang w:val="en-US" w:eastAsia="zh-CN"/>
        </w:rPr>
        <w:t>2</w:t>
      </w:r>
      <w:bookmarkStart w:id="0" w:name="_GoBack"/>
      <w:bookmarkEnd w:id="0"/>
      <w:r>
        <w:rPr>
          <w:rFonts w:hint="eastAsia" w:hAnsi="宋体"/>
          <w:color w:val="000000"/>
          <w:sz w:val="28"/>
          <w:szCs w:val="28"/>
        </w:rPr>
        <w:t>年</w:t>
      </w:r>
      <w:r>
        <w:rPr>
          <w:rFonts w:hint="eastAsia" w:hAnsi="宋体"/>
          <w:color w:val="000000"/>
          <w:sz w:val="28"/>
          <w:szCs w:val="28"/>
          <w:lang w:val="en-US" w:eastAsia="zh-CN"/>
        </w:rPr>
        <w:t>4</w:t>
      </w:r>
      <w:r>
        <w:rPr>
          <w:rFonts w:hint="eastAsia" w:hAnsi="宋体"/>
          <w:color w:val="000000"/>
          <w:sz w:val="28"/>
          <w:szCs w:val="28"/>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24DA8"/>
    <w:multiLevelType w:val="multilevel"/>
    <w:tmpl w:val="21C24D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72819"/>
    <w:multiLevelType w:val="multilevel"/>
    <w:tmpl w:val="4F872819"/>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044D7"/>
    <w:rsid w:val="2672446D"/>
    <w:rsid w:val="4C9A5DAB"/>
    <w:rsid w:val="4E1958C4"/>
    <w:rsid w:val="4FC869F8"/>
    <w:rsid w:val="612D15C3"/>
    <w:rsid w:val="6BA90AC5"/>
    <w:rsid w:val="6E4106AC"/>
    <w:rsid w:val="7AC5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2021-10-25T09:54:00Z</dcterms:created>
  <dc:creator>Administrator</dc:creator>
  <cp:lastModifiedBy>dgy</cp:lastModifiedBy>
  <cp:lastPrinted>2021-10-26T00:52:00Z</cp:lastPrinted>
  <dcterms:modified xsi:type="dcterms:W3CDTF">2022-04-06T02:10:07Z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1E09C915334B4C698774CE477E730975</vt:lpwstr>
  </property>
</Properties>
</file>