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3296" w:h="1130" w:hRule="exact" w:wrap="around" w:vAnchor="page" w:hAnchor="page" w:x="7354" w:y="1770"/>
        <w:shd w:val="clear"/>
        <w:rPr>
          <w:rFonts w:hint="default" w:eastAsia="宋体"/>
          <w:color w:val="auto"/>
          <w:highlight w:val="none"/>
          <w:lang w:val="en-US" w:eastAsia="zh-CN"/>
        </w:rPr>
      </w:pPr>
      <w:r>
        <w:rPr>
          <w:rFonts w:hint="eastAsia"/>
          <w:color w:val="auto"/>
          <w:sz w:val="112"/>
          <w:szCs w:val="112"/>
          <w:highlight w:val="none"/>
          <w:lang w:val="en-US" w:eastAsia="zh-CN"/>
        </w:rPr>
        <w:t>SJ</w:t>
      </w:r>
    </w:p>
    <w:p>
      <w:pPr>
        <w:pStyle w:val="11"/>
        <w:shd w:val="clear"/>
        <w:rPr>
          <w:rFonts w:hint="eastAsia" w:hAnsi="黑体" w:eastAsia="黑体"/>
          <w:color w:val="auto"/>
          <w:highlight w:val="none"/>
          <w:lang w:val="en-US" w:eastAsia="zh-CN"/>
        </w:rPr>
      </w:pPr>
      <w:r>
        <w:rPr>
          <w:color w:val="auto"/>
          <w:highlight w:val="none"/>
        </w:rPr>
        <w:t>ICS</w:t>
      </w:r>
      <w:r>
        <w:rPr>
          <w:rFonts w:hint="eastAsia"/>
          <w:color w:val="auto"/>
          <w:highlight w:val="none"/>
          <w:lang w:val="en-US" w:eastAsia="zh-CN"/>
        </w:rPr>
        <w:t xml:space="preserve"> </w:t>
      </w:r>
    </w:p>
    <w:p>
      <w:pPr>
        <w:pStyle w:val="11"/>
        <w:shd w:val="clear"/>
        <w:rPr>
          <w:rFonts w:hint="default"/>
          <w:color w:val="auto"/>
          <w:highlight w:val="none"/>
          <w:lang w:val="en-US"/>
        </w:rPr>
      </w:pPr>
      <w:r>
        <w:rPr>
          <w:rFonts w:hint="eastAsia"/>
          <w:color w:val="auto"/>
          <w:highlight w:val="none"/>
          <w:lang w:val="en-US" w:eastAsia="zh-CN"/>
        </w:rPr>
        <w:t xml:space="preserve">CCS </w:t>
      </w:r>
    </w:p>
    <w:p>
      <w:pPr>
        <w:shd w:val="clear"/>
        <w:jc w:val="both"/>
        <w:rPr>
          <w:rFonts w:hint="eastAsia" w:ascii="黑体" w:hAnsi="黑体" w:eastAsia="黑体" w:cs="黑体"/>
          <w:color w:val="auto"/>
          <w:sz w:val="24"/>
          <w:szCs w:val="24"/>
          <w:highlight w:val="none"/>
          <w:lang w:val="en-US" w:eastAsia="zh-CN"/>
        </w:rPr>
      </w:pPr>
    </w:p>
    <w:p>
      <w:pPr>
        <w:shd w:val="clear"/>
        <w:jc w:val="both"/>
        <w:rPr>
          <w:rFonts w:hint="eastAsia" w:ascii="黑体" w:hAnsi="黑体" w:eastAsia="黑体" w:cs="黑体"/>
          <w:color w:val="auto"/>
          <w:sz w:val="24"/>
          <w:szCs w:val="24"/>
          <w:highlight w:val="none"/>
          <w:lang w:val="en-US" w:eastAsia="zh-CN"/>
        </w:rPr>
      </w:pPr>
    </w:p>
    <w:p>
      <w:pPr>
        <w:shd w:val="clear"/>
        <w:jc w:val="both"/>
        <w:rPr>
          <w:rFonts w:hint="eastAsia" w:ascii="黑体" w:hAnsi="黑体" w:eastAsia="黑体" w:cs="黑体"/>
          <w:color w:val="auto"/>
          <w:sz w:val="24"/>
          <w:szCs w:val="24"/>
          <w:highlight w:val="none"/>
          <w:lang w:val="en-US" w:eastAsia="zh-CN"/>
        </w:rPr>
      </w:pPr>
    </w:p>
    <w:p>
      <w:pPr>
        <w:shd w:val="clear"/>
        <w:jc w:val="distribute"/>
        <w:outlineLvl w:val="0"/>
        <w:rPr>
          <w:rFonts w:hint="eastAsia" w:ascii="宋体" w:hAnsi="宋体" w:eastAsia="宋体" w:cs="宋体"/>
          <w:b/>
          <w:bCs/>
          <w:color w:val="auto"/>
          <w:sz w:val="56"/>
          <w:szCs w:val="56"/>
          <w:highlight w:val="none"/>
          <w:lang w:val="en-US" w:eastAsia="zh-CN"/>
        </w:rPr>
      </w:pPr>
      <w:r>
        <w:rPr>
          <w:rFonts w:hint="eastAsia" w:ascii="宋体" w:hAnsi="宋体" w:eastAsia="宋体" w:cs="宋体"/>
          <w:b/>
          <w:bCs/>
          <w:color w:val="auto"/>
          <w:sz w:val="56"/>
          <w:szCs w:val="56"/>
          <w:highlight w:val="none"/>
          <w:lang w:val="en-US" w:eastAsia="zh-CN"/>
        </w:rPr>
        <w:t>中华人民共和国</w:t>
      </w:r>
      <w:r>
        <w:rPr>
          <w:rFonts w:hint="eastAsia" w:ascii="宋体" w:hAnsi="宋体" w:cs="宋体"/>
          <w:b/>
          <w:bCs/>
          <w:color w:val="auto"/>
          <w:sz w:val="56"/>
          <w:szCs w:val="56"/>
          <w:highlight w:val="none"/>
          <w:lang w:val="en-US" w:eastAsia="zh-CN"/>
        </w:rPr>
        <w:t>电子行业</w:t>
      </w:r>
      <w:r>
        <w:rPr>
          <w:rFonts w:hint="eastAsia" w:ascii="宋体" w:hAnsi="宋体" w:eastAsia="宋体" w:cs="宋体"/>
          <w:b/>
          <w:bCs/>
          <w:color w:val="auto"/>
          <w:sz w:val="56"/>
          <w:szCs w:val="56"/>
          <w:highlight w:val="none"/>
          <w:lang w:val="en-US" w:eastAsia="zh-CN"/>
        </w:rPr>
        <w:t>标准</w:t>
      </w:r>
    </w:p>
    <w:p>
      <w:pPr>
        <w:shd w:val="clear"/>
        <w:jc w:val="center"/>
        <w:outlineLvl w:val="0"/>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 xml:space="preserve">                                            SJ/T XXXXX-202X</w:t>
      </w:r>
    </w:p>
    <w:p>
      <w:pPr>
        <w:shd w:val="clear"/>
        <w:jc w:val="center"/>
        <w:rPr>
          <w:rFonts w:hint="eastAsia" w:ascii="黑体" w:hAnsi="黑体" w:eastAsia="黑体" w:cs="黑体"/>
          <w:color w:val="auto"/>
          <w:sz w:val="28"/>
          <w:szCs w:val="28"/>
          <w:highlight w:val="none"/>
          <w:lang w:val="en-US" w:eastAsia="zh-CN"/>
        </w:rPr>
      </w:pP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92710</wp:posOffset>
                </wp:positionV>
                <wp:extent cx="6308090" cy="635"/>
                <wp:effectExtent l="0" t="0" r="0" b="0"/>
                <wp:wrapNone/>
                <wp:docPr id="2" name="直线 6"/>
                <wp:cNvGraphicFramePr/>
                <a:graphic xmlns:a="http://schemas.openxmlformats.org/drawingml/2006/main">
                  <a:graphicData uri="http://schemas.microsoft.com/office/word/2010/wordprocessingShape">
                    <wps:wsp>
                      <wps:cNvCnPr/>
                      <wps:spPr>
                        <a:xfrm>
                          <a:off x="0" y="0"/>
                          <a:ext cx="6308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8.55pt;margin-top:7.3pt;height:0.05pt;width:496.7pt;z-index:251660288;mso-width-relative:page;mso-height-relative:page;" filled="f" stroked="t" coordsize="21600,21600" o:gfxdata="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uBRVtUA&#10;AAAJAQAADwAAAAAAAAABACAAAAAiAAAAZHJzL2Rvd25yZXYueG1sUEsBAhQAFAAAAAgAh07iQBuv&#10;fTPpAQAA3QMAAA4AAAAAAAAAAQAgAAAAJAEAAGRycy9lMm9Eb2MueG1sUEsFBgAAAAAGAAYAWQEA&#10;AH8FAAAAAA==&#10;">
                <v:fill on="f" focussize="0,0"/>
                <v:stroke color="#000000" joinstyle="round"/>
                <v:imagedata o:title=""/>
                <o:lock v:ext="edit" aspectratio="f"/>
              </v:line>
            </w:pict>
          </mc:Fallback>
        </mc:AlternateContent>
      </w:r>
    </w:p>
    <w:p>
      <w:pPr>
        <w:shd w:val="clear"/>
        <w:jc w:val="both"/>
        <w:rPr>
          <w:rFonts w:hint="eastAsia" w:ascii="黑体" w:hAnsi="黑体" w:eastAsia="黑体" w:cs="黑体"/>
          <w:color w:val="auto"/>
          <w:sz w:val="40"/>
          <w:szCs w:val="40"/>
          <w:highlight w:val="none"/>
          <w:lang w:val="en-US" w:eastAsia="zh-CN"/>
        </w:rPr>
      </w:pPr>
    </w:p>
    <w:p>
      <w:pPr>
        <w:shd w:val="clear"/>
        <w:jc w:val="center"/>
        <w:outlineLvl w:val="0"/>
        <w:rPr>
          <w:rFonts w:hint="eastAsia" w:ascii="黑体" w:hAnsi="黑体" w:eastAsia="黑体" w:cs="黑体"/>
          <w:b/>
          <w:bCs/>
          <w:color w:val="auto"/>
          <w:sz w:val="48"/>
          <w:szCs w:val="48"/>
          <w:highlight w:val="none"/>
          <w:lang w:val="en-US" w:eastAsia="zh-CN"/>
        </w:rPr>
      </w:pPr>
      <w:r>
        <w:rPr>
          <w:rFonts w:hint="eastAsia" w:ascii="黑体" w:hAnsi="黑体" w:eastAsia="黑体" w:cs="黑体"/>
          <w:b/>
          <w:bCs/>
          <w:color w:val="auto"/>
          <w:sz w:val="48"/>
          <w:szCs w:val="48"/>
          <w:highlight w:val="none"/>
          <w:lang w:val="en-US" w:eastAsia="zh-CN"/>
        </w:rPr>
        <w:t>基础机电继电器生产生命周期评价技术规范（产品种类规则）</w:t>
      </w:r>
    </w:p>
    <w:p>
      <w:pPr>
        <w:shd w:val="clear"/>
        <w:jc w:val="both"/>
        <w:rPr>
          <w:rFonts w:hint="eastAsia" w:ascii="黑体" w:hAnsi="黑体" w:eastAsia="黑体" w:cs="黑体"/>
          <w:color w:val="auto"/>
          <w:sz w:val="44"/>
          <w:szCs w:val="44"/>
          <w:highlight w:val="none"/>
          <w:lang w:val="en-US" w:eastAsia="zh-CN"/>
        </w:rPr>
      </w:pPr>
    </w:p>
    <w:p>
      <w:pPr>
        <w:shd w:val="clear"/>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life cycle assessment specification for electromechanical elementary relays</w:t>
      </w:r>
    </w:p>
    <w:p>
      <w:pPr>
        <w:shd w:val="clear"/>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(Product category rules)</w:t>
      </w:r>
    </w:p>
    <w:p>
      <w:pPr>
        <w:shd w:val="clear"/>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（征求意见稿）</w:t>
      </w:r>
    </w:p>
    <w:p>
      <w:pPr>
        <w:shd w:val="clear"/>
        <w:jc w:val="center"/>
        <w:rPr>
          <w:rFonts w:hint="eastAsia" w:ascii="黑体" w:hAnsi="黑体" w:eastAsia="黑体" w:cs="黑体"/>
          <w:color w:val="auto"/>
          <w:sz w:val="40"/>
          <w:szCs w:val="40"/>
          <w:highlight w:val="none"/>
          <w:lang w:val="en-US" w:eastAsia="zh-CN"/>
        </w:rPr>
      </w:pPr>
      <w:r>
        <w:rPr>
          <w:rFonts w:hint="eastAsia"/>
          <w:color w:val="auto"/>
          <w:highlight w:val="none"/>
        </w:rPr>
        <w:t>（本稿完成日期：20</w:t>
      </w:r>
      <w:r>
        <w:rPr>
          <w:rFonts w:hint="eastAsia"/>
          <w:color w:val="auto"/>
          <w:highlight w:val="none"/>
          <w:lang w:val="en-US" w:eastAsia="zh-CN"/>
        </w:rPr>
        <w:t>22</w:t>
      </w: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1</w:t>
      </w:r>
      <w:r>
        <w:rPr>
          <w:rFonts w:hint="eastAsia"/>
          <w:color w:val="auto"/>
          <w:highlight w:val="none"/>
        </w:rPr>
        <w:t>）</w:t>
      </w:r>
    </w:p>
    <w:p>
      <w:pPr>
        <w:shd w:val="clear"/>
        <w:jc w:val="both"/>
        <w:rPr>
          <w:rFonts w:hint="eastAsia" w:ascii="黑体" w:hAnsi="黑体" w:eastAsia="黑体" w:cs="黑体"/>
          <w:color w:val="auto"/>
          <w:sz w:val="40"/>
          <w:szCs w:val="40"/>
          <w:highlight w:val="none"/>
          <w:lang w:val="en-US" w:eastAsia="zh-CN"/>
        </w:rPr>
      </w:pPr>
    </w:p>
    <w:p>
      <w:pPr>
        <w:shd w:val="clear"/>
        <w:jc w:val="both"/>
        <w:rPr>
          <w:rFonts w:hint="eastAsia" w:ascii="黑体" w:hAnsi="黑体" w:eastAsia="黑体" w:cs="黑体"/>
          <w:color w:val="auto"/>
          <w:sz w:val="40"/>
          <w:szCs w:val="40"/>
          <w:highlight w:val="none"/>
          <w:lang w:val="en-US" w:eastAsia="zh-CN"/>
        </w:rPr>
      </w:pPr>
    </w:p>
    <w:p>
      <w:pPr>
        <w:shd w:val="clear"/>
        <w:jc w:val="both"/>
        <w:rPr>
          <w:rFonts w:hint="eastAsia" w:ascii="黑体" w:hAnsi="黑体" w:eastAsia="黑体" w:cs="黑体"/>
          <w:color w:val="auto"/>
          <w:sz w:val="40"/>
          <w:szCs w:val="40"/>
          <w:highlight w:val="none"/>
          <w:lang w:val="en-US" w:eastAsia="zh-CN"/>
        </w:rPr>
      </w:pPr>
    </w:p>
    <w:p>
      <w:pPr>
        <w:shd w:val="clear"/>
        <w:jc w:val="both"/>
        <w:rPr>
          <w:rFonts w:hint="eastAsia" w:ascii="黑体" w:hAnsi="黑体" w:eastAsia="黑体" w:cs="黑体"/>
          <w:color w:val="auto"/>
          <w:sz w:val="22"/>
          <w:szCs w:val="22"/>
          <w:highlight w:val="none"/>
          <w:lang w:val="en-US" w:eastAsia="zh-CN"/>
        </w:rPr>
      </w:pPr>
    </w:p>
    <w:p>
      <w:pPr>
        <w:shd w:val="clear"/>
        <w:jc w:val="both"/>
        <w:rPr>
          <w:rFonts w:hint="eastAsia" w:ascii="黑体" w:hAnsi="黑体" w:eastAsia="黑体" w:cs="黑体"/>
          <w:color w:val="auto"/>
          <w:sz w:val="22"/>
          <w:szCs w:val="22"/>
          <w:highlight w:val="none"/>
          <w:lang w:val="en-US" w:eastAsia="zh-CN"/>
        </w:rPr>
      </w:pPr>
    </w:p>
    <w:p>
      <w:pPr>
        <w:shd w:val="clear"/>
        <w:jc w:val="both"/>
        <w:rPr>
          <w:rFonts w:hint="eastAsia" w:ascii="黑体" w:hAnsi="黑体" w:eastAsia="黑体" w:cs="黑体"/>
          <w:color w:val="auto"/>
          <w:sz w:val="22"/>
          <w:szCs w:val="22"/>
          <w:highlight w:val="none"/>
          <w:lang w:val="en-US" w:eastAsia="zh-CN"/>
        </w:rPr>
      </w:pPr>
    </w:p>
    <w:p>
      <w:pPr>
        <w:shd w:val="clear"/>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24"/>
          <w:szCs w:val="24"/>
          <w:highlight w:val="none"/>
          <w:lang w:val="en-US" w:eastAsia="zh-CN"/>
        </w:rPr>
        <w:t xml:space="preserve">  XXXX-XX-XX发布                                               XXXX-XX-XX实施</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黑体" w:hAnsi="黑体" w:eastAsia="黑体" w:cs="黑体"/>
          <w:color w:val="auto"/>
          <w:sz w:val="32"/>
          <w:szCs w:val="32"/>
          <w:highlight w:val="none"/>
          <w:lang w:val="en-US" w:eastAsia="zh-CN"/>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80645</wp:posOffset>
                </wp:positionV>
                <wp:extent cx="6308090" cy="635"/>
                <wp:effectExtent l="0" t="0" r="0" b="0"/>
                <wp:wrapNone/>
                <wp:docPr id="1" name="直线 5"/>
                <wp:cNvGraphicFramePr/>
                <a:graphic xmlns:a="http://schemas.openxmlformats.org/drawingml/2006/main">
                  <a:graphicData uri="http://schemas.microsoft.com/office/word/2010/wordprocessingShape">
                    <wps:wsp>
                      <wps:cNvCnPr/>
                      <wps:spPr>
                        <a:xfrm>
                          <a:off x="0" y="0"/>
                          <a:ext cx="6308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8pt;margin-top:6.35pt;height:0.05pt;width:496.7pt;z-index:251659264;mso-width-relative:page;mso-height-relative:page;" filled="f" stroked="t" coordsize="21600,21600" o:gfxdata="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5gD&#10;V9YAAAAJAQAADwAAAAAAAAABACAAAAAiAAAAZHJzL2Rvd25yZXYueG1sUEsBAhQAFAAAAAgAh07i&#10;QMp1K0DrAQAA3QMAAA4AAAAAAAAAAQAgAAAAJQEAAGRycy9lMm9Eb2MueG1sUEsFBgAAAAAGAAYA&#10;WQEAAIIFAAAAAA==&#10;">
                <v:fill on="f" focussize="0,0"/>
                <v:stroke color="#000000" joinstyle="round"/>
                <v:imagedata o:title=""/>
                <o:lock v:ext="edit" aspectratio="f"/>
              </v:line>
            </w:pict>
          </mc:Fallback>
        </mc:AlternateContent>
      </w:r>
      <w:r>
        <w:rPr>
          <w:rFonts w:hint="eastAsia" w:ascii="黑体" w:hAnsi="黑体" w:eastAsia="黑体" w:cs="黑体"/>
          <w:color w:val="auto"/>
          <w:sz w:val="32"/>
          <w:szCs w:val="32"/>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中华人民共和国工业和信息化部     发布</w:t>
      </w:r>
    </w:p>
    <w:p>
      <w:pPr>
        <w:shd w:val="clear"/>
        <w:jc w:val="center"/>
        <w:rPr>
          <w:rFonts w:hint="eastAsia"/>
          <w:color w:val="auto"/>
          <w:sz w:val="44"/>
          <w:szCs w:val="52"/>
          <w:highlight w:val="none"/>
        </w:rPr>
      </w:pPr>
    </w:p>
    <w:p>
      <w:pPr>
        <w:shd w:val="clear"/>
        <w:jc w:val="center"/>
        <w:outlineLvl w:val="0"/>
        <w:rPr>
          <w:rFonts w:hint="eastAsia" w:ascii="黑体" w:hAnsi="黑体" w:eastAsia="黑体" w:cs="黑体"/>
          <w:color w:val="auto"/>
          <w:sz w:val="36"/>
          <w:szCs w:val="44"/>
          <w:highlight w:val="none"/>
        </w:rPr>
      </w:pPr>
      <w:r>
        <w:rPr>
          <w:rFonts w:hint="eastAsia" w:ascii="黑体" w:hAnsi="黑体" w:eastAsia="黑体" w:cs="黑体"/>
          <w:color w:val="auto"/>
          <w:sz w:val="36"/>
          <w:szCs w:val="44"/>
          <w:highlight w:val="none"/>
        </w:rPr>
        <w:t>前   言</w:t>
      </w:r>
    </w:p>
    <w:p>
      <w:pPr>
        <w:shd w:val="clear"/>
        <w:jc w:val="center"/>
        <w:rPr>
          <w:rFonts w:hint="eastAsia" w:ascii="黑体" w:hAnsi="黑体" w:eastAsia="黑体" w:cs="黑体"/>
          <w:color w:val="auto"/>
          <w:sz w:val="44"/>
          <w:szCs w:val="52"/>
          <w:highlight w:val="none"/>
        </w:rPr>
      </w:pPr>
    </w:p>
    <w:p>
      <w:pPr>
        <w:pStyle w:val="12"/>
        <w:shd w:val="clear"/>
        <w:tabs>
          <w:tab w:val="left" w:pos="3125"/>
        </w:tabs>
        <w:rPr>
          <w:rFonts w:hint="eastAsia" w:hAnsi="宋体"/>
          <w:color w:val="auto"/>
          <w:highlight w:val="none"/>
        </w:rPr>
      </w:pPr>
      <w:r>
        <w:rPr>
          <w:rFonts w:hint="eastAsia" w:hAnsi="宋体"/>
          <w:color w:val="auto"/>
          <w:highlight w:val="none"/>
        </w:rPr>
        <w:t>本</w:t>
      </w:r>
      <w:r>
        <w:rPr>
          <w:rFonts w:hint="eastAsia" w:hAnsi="宋体"/>
          <w:color w:val="auto"/>
          <w:highlight w:val="none"/>
          <w:lang w:eastAsia="zh-CN"/>
        </w:rPr>
        <w:t>文件</w:t>
      </w:r>
      <w:r>
        <w:rPr>
          <w:rFonts w:hint="eastAsia" w:hAnsi="宋体"/>
          <w:color w:val="auto"/>
          <w:highlight w:val="none"/>
        </w:rPr>
        <w:t>按照GB/T</w:t>
      </w:r>
      <w:r>
        <w:rPr>
          <w:rFonts w:hint="eastAsia" w:hAnsi="宋体"/>
          <w:color w:val="auto"/>
          <w:highlight w:val="none"/>
          <w:lang w:val="en-US" w:eastAsia="zh-CN"/>
        </w:rPr>
        <w:t xml:space="preserve"> </w:t>
      </w:r>
      <w:r>
        <w:rPr>
          <w:rFonts w:hint="eastAsia" w:hAnsi="宋体"/>
          <w:color w:val="auto"/>
          <w:highlight w:val="none"/>
        </w:rPr>
        <w:t>1.1-20</w:t>
      </w:r>
      <w:r>
        <w:rPr>
          <w:rFonts w:hint="eastAsia" w:hAnsi="宋体"/>
          <w:color w:val="auto"/>
          <w:highlight w:val="none"/>
          <w:lang w:val="en-US" w:eastAsia="zh-CN"/>
        </w:rPr>
        <w:t>20《标准化工作导则 第1部分：标准化文件的结构和起草规则》</w:t>
      </w:r>
      <w:r>
        <w:rPr>
          <w:rFonts w:hint="eastAsia" w:hAnsi="宋体"/>
          <w:color w:val="auto"/>
          <w:highlight w:val="none"/>
        </w:rPr>
        <w:t>的</w:t>
      </w:r>
      <w:r>
        <w:rPr>
          <w:rFonts w:hint="eastAsia" w:hAnsi="宋体"/>
          <w:color w:val="auto"/>
          <w:highlight w:val="none"/>
          <w:lang w:eastAsia="zh-CN"/>
        </w:rPr>
        <w:t>规定</w:t>
      </w:r>
      <w:r>
        <w:rPr>
          <w:rFonts w:hint="eastAsia" w:hAnsi="宋体"/>
          <w:color w:val="auto"/>
          <w:highlight w:val="none"/>
        </w:rPr>
        <w:t>起草。</w:t>
      </w:r>
    </w:p>
    <w:p>
      <w:pPr>
        <w:shd w:val="clear"/>
        <w:ind w:firstLine="420" w:firstLineChars="200"/>
        <w:rPr>
          <w:rFonts w:hint="eastAsia" w:ascii="宋体" w:hAnsi="宋体" w:cs="宋体"/>
          <w:color w:val="auto"/>
          <w:szCs w:val="21"/>
          <w:highlight w:val="none"/>
        </w:rPr>
      </w:pPr>
      <w:r>
        <w:rPr>
          <w:rFonts w:hint="eastAsia" w:hAnsi="宋体"/>
          <w:color w:val="auto"/>
          <w:highlight w:val="none"/>
        </w:rPr>
        <w:t>请注意本文件的某些内容可能涉及专利。本文件的发布机构不承担识别这些专利的责任。</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由</w:t>
      </w:r>
      <w:r>
        <w:rPr>
          <w:rFonts w:hint="eastAsia" w:ascii="宋体" w:hAnsi="宋体" w:cs="宋体"/>
          <w:color w:val="auto"/>
          <w:szCs w:val="21"/>
          <w:highlight w:val="none"/>
          <w:lang w:eastAsia="zh-CN"/>
        </w:rPr>
        <w:t>工业和信息化部电器电子产品污染防治标准工作组</w:t>
      </w:r>
      <w:r>
        <w:rPr>
          <w:rFonts w:hint="eastAsia" w:ascii="宋体" w:hAnsi="宋体" w:cs="宋体"/>
          <w:color w:val="auto"/>
          <w:szCs w:val="21"/>
          <w:highlight w:val="none"/>
        </w:rPr>
        <w:t>提出并归口。</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起草单位</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中国电子技术</w:t>
      </w:r>
      <w:r>
        <w:rPr>
          <w:rFonts w:hint="eastAsia" w:ascii="宋体" w:hAnsi="宋体" w:cs="宋体"/>
          <w:b w:val="0"/>
          <w:bCs w:val="0"/>
          <w:color w:val="auto"/>
          <w:szCs w:val="21"/>
          <w:highlight w:val="none"/>
        </w:rPr>
        <w:t>标准化</w:t>
      </w:r>
      <w:r>
        <w:rPr>
          <w:rFonts w:hint="eastAsia" w:ascii="宋体" w:hAnsi="宋体" w:cs="宋体"/>
          <w:color w:val="auto"/>
          <w:szCs w:val="21"/>
          <w:highlight w:val="none"/>
        </w:rPr>
        <w:t>研究院、</w:t>
      </w:r>
      <w:r>
        <w:rPr>
          <w:rFonts w:hint="eastAsia" w:ascii="宋体" w:hAnsi="宋体" w:eastAsia="宋体" w:cs="宋体"/>
          <w:i w:val="0"/>
          <w:iCs w:val="0"/>
          <w:color w:val="auto"/>
          <w:kern w:val="2"/>
          <w:sz w:val="21"/>
          <w:szCs w:val="21"/>
          <w:highlight w:val="none"/>
          <w:u w:val="none"/>
          <w:lang w:val="en-US" w:eastAsia="zh-CN" w:bidi="ar"/>
        </w:rPr>
        <w:t>施耐德电气</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江苏省电子信息产品质量监督检验研究院</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2"/>
          <w:sz w:val="21"/>
          <w:szCs w:val="21"/>
          <w:highlight w:val="none"/>
          <w:u w:val="none"/>
          <w:lang w:val="en-US" w:eastAsia="zh-CN" w:bidi="ar"/>
        </w:rPr>
        <w:t>江苏威诺检测技术有限公司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厦门宏发电声股份有限公司</w:t>
      </w:r>
      <w:r>
        <w:rPr>
          <w:rFonts w:hint="eastAsia" w:ascii="宋体" w:hAnsi="宋体" w:cs="宋体"/>
          <w:i w:val="0"/>
          <w:iCs w:val="0"/>
          <w:color w:val="auto"/>
          <w:kern w:val="2"/>
          <w:sz w:val="21"/>
          <w:szCs w:val="21"/>
          <w:highlight w:val="none"/>
          <w:u w:val="none"/>
          <w:lang w:val="en-US" w:eastAsia="zh-CN" w:bidi="ar"/>
        </w:rPr>
        <w:t>、</w:t>
      </w:r>
      <w:r>
        <w:rPr>
          <w:rFonts w:hint="eastAsia" w:ascii="宋体" w:hAnsi="宋体" w:cs="宋体"/>
          <w:color w:val="auto"/>
          <w:szCs w:val="21"/>
          <w:highlight w:val="none"/>
        </w:rPr>
        <w:t>工业和信息化部电子第五研究所</w:t>
      </w:r>
      <w:r>
        <w:rPr>
          <w:rFonts w:hint="eastAsia" w:ascii="宋体" w:hAnsi="宋体" w:cs="宋体"/>
          <w:i w:val="0"/>
          <w:iCs w:val="0"/>
          <w:color w:val="auto"/>
          <w:kern w:val="2"/>
          <w:sz w:val="21"/>
          <w:szCs w:val="21"/>
          <w:highlight w:val="none"/>
          <w:u w:val="none"/>
          <w:lang w:val="en-US" w:eastAsia="zh-CN" w:bidi="ar"/>
        </w:rPr>
        <w:t>。</w:t>
      </w:r>
    </w:p>
    <w:p>
      <w:pPr>
        <w:shd w:val="clear"/>
        <w:ind w:firstLine="420" w:firstLineChars="200"/>
        <w:rPr>
          <w:rFonts w:hint="eastAsia" w:ascii="黑体" w:hAnsi="黑体" w:eastAsia="黑体" w:cs="黑体"/>
          <w:color w:val="auto"/>
          <w:sz w:val="24"/>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主要起草人：     。</w:t>
      </w:r>
      <w:r>
        <w:rPr>
          <w:rFonts w:hint="eastAsia" w:ascii="黑体" w:hAnsi="黑体" w:eastAsia="黑体" w:cs="黑体"/>
          <w:color w:val="auto"/>
          <w:sz w:val="24"/>
          <w:highlight w:val="none"/>
        </w:rPr>
        <w:t> </w:t>
      </w:r>
    </w:p>
    <w:p>
      <w:pPr>
        <w:shd w:val="clear"/>
        <w:ind w:firstLine="480" w:firstLineChars="200"/>
        <w:rPr>
          <w:rFonts w:hint="eastAsia" w:ascii="黑体" w:hAnsi="黑体" w:eastAsia="黑体" w:cs="黑体"/>
          <w:color w:val="auto"/>
          <w:sz w:val="24"/>
          <w:highlight w:val="none"/>
        </w:rPr>
      </w:pPr>
    </w:p>
    <w:p>
      <w:pPr>
        <w:shd w:val="clear"/>
        <w:ind w:firstLine="420"/>
        <w:rPr>
          <w:rFonts w:hint="eastAsia" w:ascii="黑体" w:hAnsi="黑体" w:eastAsia="黑体" w:cs="黑体"/>
          <w:color w:val="auto"/>
          <w:sz w:val="21"/>
          <w:szCs w:val="24"/>
          <w:highlight w:val="none"/>
          <w:lang w:val="en-US" w:eastAsia="zh-CN"/>
        </w:rPr>
      </w:pPr>
    </w:p>
    <w:p>
      <w:pPr>
        <w:shd w:val="clear"/>
        <w:ind w:firstLine="420"/>
        <w:rPr>
          <w:rFonts w:hint="eastAsia" w:ascii="黑体" w:hAnsi="黑体" w:eastAsia="黑体" w:cs="黑体"/>
          <w:color w:val="auto"/>
          <w:sz w:val="21"/>
          <w:szCs w:val="24"/>
          <w:highlight w:val="none"/>
          <w:lang w:val="en-US" w:eastAsia="zh-CN"/>
        </w:rPr>
        <w:sectPr>
          <w:pgSz w:w="11906" w:h="16838"/>
          <w:pgMar w:top="1440" w:right="1080" w:bottom="1440" w:left="1080" w:header="851" w:footer="992" w:gutter="0"/>
          <w:cols w:space="720" w:num="1"/>
          <w:rtlGutter w:val="0"/>
          <w:docGrid w:type="lines" w:linePitch="312" w:charSpace="0"/>
        </w:sectPr>
      </w:pPr>
    </w:p>
    <w:p>
      <w:pPr>
        <w:shd w:val="clea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引言</w:t>
      </w:r>
    </w:p>
    <w:p>
      <w:pPr>
        <w:shd w:val="clear"/>
        <w:rPr>
          <w:rFonts w:hint="eastAsia" w:ascii="宋体" w:hAnsi="宋体" w:cs="宋体"/>
          <w:color w:val="auto"/>
          <w:sz w:val="24"/>
          <w:highlight w:val="none"/>
        </w:rPr>
      </w:pP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生命周期评价技术规范，又称产品种类规则（PCR，product category rules），是对一个或多个产品种类进行Ⅲ型环境声明（EPD，environmental product declarations）所应遵循的一套规则、要求和指南。</w:t>
      </w:r>
    </w:p>
    <w:p>
      <w:pPr>
        <w:shd w:val="clear"/>
        <w:ind w:firstLine="420" w:firstLineChars="200"/>
        <w:rPr>
          <w:rFonts w:ascii="宋体" w:hAnsi="宋体" w:cs="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lang w:eastAsia="zh-CN"/>
        </w:rPr>
        <w:t>文件</w:t>
      </w:r>
      <w:r>
        <w:rPr>
          <w:rFonts w:ascii="宋体" w:hAnsi="宋体" w:cs="宋体"/>
          <w:color w:val="auto"/>
          <w:szCs w:val="21"/>
          <w:highlight w:val="none"/>
        </w:rPr>
        <w:t>规定的内容为Ⅲ型环境声明（EPD）中的指标参数提供要求。</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ascii="宋体" w:hAnsi="宋体" w:eastAsia="宋体" w:cs="宋体"/>
          <w:color w:val="auto"/>
          <w:sz w:val="24"/>
          <w:szCs w:val="24"/>
          <w:highlight w:val="none"/>
        </w:rPr>
      </w:pPr>
      <w:r>
        <w:rPr>
          <w:rFonts w:ascii="宋体" w:hAnsi="宋体" w:cs="宋体"/>
          <w:color w:val="auto"/>
          <w:szCs w:val="21"/>
          <w:highlight w:val="none"/>
        </w:rPr>
        <w:t>依据本</w:t>
      </w:r>
      <w:r>
        <w:rPr>
          <w:rFonts w:hint="eastAsia" w:ascii="宋体" w:hAnsi="宋体" w:cs="宋体"/>
          <w:color w:val="auto"/>
          <w:szCs w:val="21"/>
          <w:highlight w:val="none"/>
          <w:lang w:eastAsia="zh-CN"/>
        </w:rPr>
        <w:t>文件</w:t>
      </w:r>
      <w:r>
        <w:rPr>
          <w:rFonts w:ascii="宋体" w:hAnsi="宋体" w:cs="宋体"/>
          <w:color w:val="auto"/>
          <w:szCs w:val="21"/>
          <w:highlight w:val="none"/>
        </w:rPr>
        <w:t>编制的Ⅲ型环境声明（EPD），包含着特定生产者所生产产品的生命周期环境信息，一方面可以为购买方选择环境友好产品提供可靠和可比的环境信息，另一方面也为生产者持续改进产品的环境表现提供数据支持。</w:t>
      </w:r>
    </w:p>
    <w:p>
      <w:pPr>
        <w:shd w:val="clear"/>
        <w:rPr>
          <w:rFonts w:ascii="宋体" w:hAnsi="宋体" w:eastAsia="宋体" w:cs="宋体"/>
          <w:color w:val="auto"/>
          <w:sz w:val="24"/>
          <w:szCs w:val="24"/>
          <w:highlight w:val="none"/>
        </w:rPr>
        <w:sectPr>
          <w:pgSz w:w="11906" w:h="16838"/>
          <w:pgMar w:top="1440" w:right="1080" w:bottom="1440" w:left="1080" w:header="851" w:footer="992" w:gutter="0"/>
          <w:cols w:space="720" w:num="1"/>
          <w:rtlGutter w:val="0"/>
          <w:docGrid w:type="lines" w:linePitch="312" w:charSpace="0"/>
        </w:sectPr>
      </w:pPr>
    </w:p>
    <w:p>
      <w:pPr>
        <w:shd w:val="clear"/>
        <w:spacing w:before="3" w:beforeLines="1" w:after="686" w:afterLines="220"/>
        <w:jc w:val="center"/>
        <w:outlineLvl w:val="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基础机电继电器生产生命周期评价技术规范（产品种类规则）</w:t>
      </w:r>
    </w:p>
    <w:p>
      <w:pPr>
        <w:pStyle w:val="9"/>
        <w:shd w:val="clear"/>
        <w:spacing w:before="312" w:after="312"/>
        <w:rPr>
          <w:rFonts w:hint="eastAsia" w:ascii="宋体" w:hAnsi="宋体" w:cs="宋体"/>
          <w:color w:val="auto"/>
          <w:szCs w:val="21"/>
          <w:highlight w:val="none"/>
        </w:rPr>
      </w:pPr>
      <w:bookmarkStart w:id="0" w:name="_Toc24884218"/>
      <w:bookmarkStart w:id="1" w:name="_Toc26986530"/>
      <w:bookmarkStart w:id="2" w:name="_Toc17233333"/>
      <w:bookmarkStart w:id="3" w:name="_Toc24884211"/>
      <w:bookmarkStart w:id="4" w:name="_Toc26648465"/>
      <w:bookmarkStart w:id="5" w:name="_Toc26718930"/>
      <w:bookmarkStart w:id="6" w:name="_Toc17233325"/>
      <w:bookmarkStart w:id="7" w:name="_Toc26986771"/>
      <w:r>
        <w:rPr>
          <w:rFonts w:hint="eastAsia"/>
          <w:color w:val="auto"/>
          <w:highlight w:val="none"/>
        </w:rPr>
        <w:t>范围</w:t>
      </w:r>
      <w:bookmarkEnd w:id="0"/>
      <w:bookmarkEnd w:id="1"/>
      <w:bookmarkEnd w:id="2"/>
      <w:bookmarkEnd w:id="3"/>
      <w:bookmarkEnd w:id="4"/>
      <w:bookmarkEnd w:id="5"/>
      <w:bookmarkEnd w:id="6"/>
      <w:bookmarkEnd w:id="7"/>
    </w:p>
    <w:p>
      <w:pPr>
        <w:shd w:val="clea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规定了</w:t>
      </w:r>
      <w:r>
        <w:rPr>
          <w:rFonts w:hint="eastAsia" w:ascii="宋体" w:hAnsi="宋体" w:cs="宋体"/>
          <w:color w:val="auto"/>
          <w:szCs w:val="21"/>
          <w:highlight w:val="none"/>
          <w:lang w:eastAsia="zh-CN"/>
        </w:rPr>
        <w:t>基础机</w:t>
      </w:r>
      <w:bookmarkStart w:id="8" w:name="_GoBack"/>
      <w:bookmarkEnd w:id="8"/>
      <w:r>
        <w:rPr>
          <w:rFonts w:hint="eastAsia" w:ascii="宋体" w:hAnsi="宋体" w:cs="宋体"/>
          <w:color w:val="auto"/>
          <w:szCs w:val="21"/>
          <w:highlight w:val="none"/>
          <w:lang w:eastAsia="zh-CN"/>
        </w:rPr>
        <w:t>电继电器</w:t>
      </w:r>
      <w:r>
        <w:rPr>
          <w:rFonts w:hint="eastAsia" w:ascii="宋体" w:hAnsi="宋体" w:cs="宋体"/>
          <w:color w:val="auto"/>
          <w:szCs w:val="21"/>
          <w:highlight w:val="none"/>
        </w:rPr>
        <w:t>生产生命周期评价的基本规则和要求。</w:t>
      </w:r>
    </w:p>
    <w:p>
      <w:pPr>
        <w:shd w:val="clea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适用于</w:t>
      </w:r>
      <w:r>
        <w:rPr>
          <w:rFonts w:hint="eastAsia" w:ascii="宋体" w:hAnsi="宋体" w:cs="宋体"/>
          <w:color w:val="auto"/>
          <w:szCs w:val="21"/>
          <w:highlight w:val="none"/>
          <w:lang w:eastAsia="zh-CN"/>
        </w:rPr>
        <w:t>基础机电继电器</w:t>
      </w:r>
      <w:r>
        <w:rPr>
          <w:rFonts w:hint="eastAsia" w:ascii="宋体" w:hAnsi="宋体" w:cs="宋体"/>
          <w:color w:val="auto"/>
          <w:szCs w:val="21"/>
          <w:highlight w:val="none"/>
        </w:rPr>
        <w:t>产品。</w:t>
      </w:r>
    </w:p>
    <w:p>
      <w:pPr>
        <w:pStyle w:val="9"/>
        <w:shd w:val="clear"/>
        <w:spacing w:before="312" w:after="312"/>
        <w:outlineLvl w:val="0"/>
        <w:rPr>
          <w:rFonts w:hint="eastAsia" w:ascii="宋体" w:hAnsi="宋体" w:eastAsia="宋体" w:cs="宋体"/>
          <w:color w:val="auto"/>
          <w:sz w:val="21"/>
          <w:szCs w:val="21"/>
          <w:highlight w:val="none"/>
          <w:lang w:val="en-US" w:eastAsia="zh-CN"/>
        </w:rPr>
      </w:pPr>
      <w:r>
        <w:rPr>
          <w:rFonts w:hint="eastAsia" w:ascii="黑体" w:hAnsi="Times New Roman" w:eastAsia="黑体" w:cs="Times New Roman"/>
          <w:color w:val="auto"/>
          <w:kern w:val="0"/>
          <w:sz w:val="21"/>
          <w:szCs w:val="20"/>
          <w:highlight w:val="none"/>
          <w:lang w:val="en-US" w:eastAsia="zh-CN" w:bidi="ar-SA"/>
        </w:rPr>
        <w:t>规范性引用文件</w:t>
      </w:r>
    </w:p>
    <w:p>
      <w:pPr>
        <w:pStyle w:val="10"/>
        <w:shd w:val="clear"/>
        <w:ind w:firstLine="420"/>
        <w:rPr>
          <w:rFonts w:hint="default" w:ascii="宋体" w:hAnsi="宋体" w:cs="宋体"/>
          <w:color w:val="auto"/>
          <w:szCs w:val="21"/>
          <w:highlight w:val="none"/>
          <w:lang w:val="en-US"/>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hd w:val="clear"/>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 xml:space="preserve">GB/T </w:t>
      </w:r>
      <w:r>
        <w:rPr>
          <w:rFonts w:hint="eastAsia" w:ascii="宋体" w:hAnsi="宋体" w:cs="宋体"/>
          <w:color w:val="auto"/>
          <w:sz w:val="21"/>
          <w:szCs w:val="21"/>
          <w:highlight w:val="none"/>
          <w:lang w:val="en-US" w:eastAsia="zh-CN"/>
        </w:rPr>
        <w:t>21711.1-2008</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基础机电继电器 第1部分：总则与安全要求</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GB/T 24024-2001 环境管理 环境标志和声明 Ⅰ型环境标志 原则和程序</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GB/T 24025-</w:t>
      </w:r>
      <w:r>
        <w:rPr>
          <w:rFonts w:hint="eastAsia" w:ascii="宋体" w:hAnsi="宋体" w:cs="宋体"/>
          <w:color w:val="auto"/>
          <w:szCs w:val="21"/>
          <w:highlight w:val="none"/>
        </w:rPr>
        <w:t xml:space="preserve">2009 </w:t>
      </w:r>
      <w:r>
        <w:rPr>
          <w:rFonts w:hint="eastAsia" w:ascii="宋体" w:hAnsi="宋体" w:cs="宋体"/>
          <w:color w:val="auto"/>
          <w:szCs w:val="21"/>
          <w:highlight w:val="none"/>
        </w:rPr>
        <w:t>环境标志和声明 Ⅲ型环境声明 原则和程序</w:t>
      </w:r>
    </w:p>
    <w:p>
      <w:pPr>
        <w:shd w:val="clea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GB/T 24040-2008 环境管理 生命周期评价 </w:t>
      </w:r>
      <w:r>
        <w:rPr>
          <w:rFonts w:hint="eastAsia" w:ascii="宋体" w:hAnsi="宋体" w:cs="宋体"/>
          <w:color w:val="auto"/>
          <w:szCs w:val="21"/>
          <w:highlight w:val="none"/>
          <w:lang w:val="en-US" w:eastAsia="zh-CN"/>
        </w:rPr>
        <w:t>原则与框架</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GB/T 24044-2008 环境管理 生命周期评价 要求与指南</w:t>
      </w:r>
    </w:p>
    <w:p>
      <w:pPr>
        <w:shd w:val="clear"/>
        <w:ind w:firstLine="420" w:firstLineChars="200"/>
        <w:rPr>
          <w:rFonts w:hint="default" w:ascii="宋体" w:hAnsi="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GB</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39731</w:t>
      </w:r>
      <w:r>
        <w:rPr>
          <w:rFonts w:hint="eastAsia" w:ascii="宋体" w:hAnsi="宋体" w:cs="宋体"/>
          <w:color w:val="auto"/>
          <w:kern w:val="2"/>
          <w:sz w:val="21"/>
          <w:szCs w:val="21"/>
          <w:highlight w:val="none"/>
          <w:lang w:val="en-US" w:eastAsia="zh-CN" w:bidi="ar"/>
        </w:rPr>
        <w:t xml:space="preserve">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"javascript:void(0)" </w:instrText>
      </w:r>
      <w:r>
        <w:rPr>
          <w:rFonts w:hint="eastAsia" w:ascii="宋体" w:hAnsi="宋体" w:cs="宋体"/>
          <w:color w:val="auto"/>
          <w:szCs w:val="21"/>
          <w:highlight w:val="none"/>
        </w:rPr>
        <w:fldChar w:fldCharType="separate"/>
      </w:r>
      <w:r>
        <w:rPr>
          <w:rFonts w:hint="default" w:ascii="宋体" w:hAnsi="宋体" w:cs="宋体"/>
          <w:color w:val="auto"/>
          <w:szCs w:val="21"/>
          <w:highlight w:val="none"/>
        </w:rPr>
        <w:t>电子工业水污染物排放标准</w:t>
      </w:r>
      <w:r>
        <w:rPr>
          <w:rFonts w:hint="default" w:ascii="宋体" w:hAnsi="宋体" w:cs="宋体"/>
          <w:color w:val="auto"/>
          <w:szCs w:val="21"/>
          <w:highlight w:val="none"/>
        </w:rPr>
        <w:fldChar w:fldCharType="end"/>
      </w:r>
    </w:p>
    <w:p>
      <w:pPr>
        <w:pStyle w:val="9"/>
        <w:shd w:val="clear"/>
        <w:spacing w:before="312" w:after="312"/>
        <w:rPr>
          <w:rFonts w:hint="eastAsia" w:ascii="黑体" w:hAnsi="黑体" w:eastAsia="黑体" w:cs="黑体"/>
          <w:color w:val="auto"/>
          <w:sz w:val="24"/>
          <w:szCs w:val="24"/>
          <w:highlight w:val="none"/>
          <w:lang w:val="en-US" w:eastAsia="zh-CN"/>
        </w:rPr>
      </w:pPr>
      <w:r>
        <w:rPr>
          <w:rFonts w:hint="eastAsia"/>
          <w:color w:val="auto"/>
          <w:highlight w:val="none"/>
        </w:rPr>
        <w:t>术语和定义</w:t>
      </w:r>
    </w:p>
    <w:p>
      <w:pPr>
        <w:shd w:val="clea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下列术语和定义适用于本文件。</w:t>
      </w:r>
    </w:p>
    <w:p>
      <w:pPr>
        <w:shd w:val="clear"/>
        <w:outlineLvl w:val="1"/>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3.1</w:t>
      </w:r>
    </w:p>
    <w:p>
      <w:pPr>
        <w:shd w:val="clear"/>
        <w:ind w:firstLine="48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产品种类 product category</w:t>
      </w:r>
    </w:p>
    <w:p>
      <w:pPr>
        <w:shd w:val="clea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具有同等功能的产品组群</w:t>
      </w:r>
    </w:p>
    <w:p>
      <w:pPr>
        <w:shd w:val="clea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［GB/T 2402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-2001,定义3.3］</w:t>
      </w:r>
    </w:p>
    <w:p>
      <w:pPr>
        <w:shd w:val="clear"/>
        <w:outlineLvl w:val="1"/>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3.2</w:t>
      </w:r>
    </w:p>
    <w:p>
      <w:pPr>
        <w:shd w:val="clear"/>
        <w:ind w:firstLine="48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产品种类规则  product category rules(PCR)</w:t>
      </w:r>
    </w:p>
    <w:p>
      <w:pPr>
        <w:shd w:val="clea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对一个或多个产品种类进行Ⅲ型环境声明所必须满足的一套具体的规则、要求和指南。</w:t>
      </w:r>
    </w:p>
    <w:p>
      <w:pPr>
        <w:shd w:val="clea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［GB/T 24025-2009,定义3.5］</w:t>
      </w:r>
    </w:p>
    <w:p>
      <w:pPr>
        <w:shd w:val="clea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3.3</w:t>
      </w:r>
    </w:p>
    <w:p>
      <w:pPr>
        <w:shd w:val="clear"/>
        <w:ind w:firstLine="480"/>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 xml:space="preserve">机电继电器 </w:t>
      </w:r>
      <w:r>
        <w:rPr>
          <w:rFonts w:hint="default" w:ascii="黑体" w:hAnsi="黑体" w:eastAsia="黑体" w:cs="黑体"/>
          <w:color w:val="auto"/>
          <w:sz w:val="21"/>
          <w:szCs w:val="21"/>
          <w:highlight w:val="none"/>
          <w:lang w:val="en-US" w:eastAsia="zh-CN"/>
        </w:rPr>
        <w:t>electromechanical relay</w:t>
      </w:r>
    </w:p>
    <w:p>
      <w:pPr>
        <w:shd w:val="clea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主要对机械零部件的运动结果产生预定响应的电气继电器。</w:t>
      </w:r>
    </w:p>
    <w:p>
      <w:pPr>
        <w:shd w:val="clea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[GB/T </w:t>
      </w:r>
      <w:r>
        <w:rPr>
          <w:rFonts w:hint="eastAsia" w:ascii="宋体" w:hAnsi="宋体" w:cs="宋体"/>
          <w:color w:val="auto"/>
          <w:sz w:val="21"/>
          <w:szCs w:val="21"/>
          <w:highlight w:val="none"/>
          <w:lang w:val="en-US" w:eastAsia="zh-CN"/>
        </w:rPr>
        <w:t>21711.1-2008</w:t>
      </w:r>
      <w:r>
        <w:rPr>
          <w:rFonts w:hint="eastAsia" w:ascii="宋体" w:hAnsi="宋体" w:eastAsia="宋体" w:cs="宋体"/>
          <w:color w:val="auto"/>
          <w:sz w:val="21"/>
          <w:szCs w:val="21"/>
          <w:highlight w:val="none"/>
          <w:lang w:val="en-US" w:eastAsia="zh-CN"/>
        </w:rPr>
        <w:t>，定义 3.</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 xml:space="preserve">] </w:t>
      </w:r>
    </w:p>
    <w:p>
      <w:pPr>
        <w:shd w:val="clea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3.4</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 xml:space="preserve">基础继电器 </w:t>
      </w:r>
      <w:r>
        <w:rPr>
          <w:rFonts w:hint="default" w:ascii="黑体" w:hAnsi="黑体" w:eastAsia="黑体" w:cs="黑体"/>
          <w:color w:val="auto"/>
          <w:sz w:val="21"/>
          <w:szCs w:val="21"/>
          <w:highlight w:val="none"/>
          <w:lang w:val="en-US" w:eastAsia="zh-CN"/>
        </w:rPr>
        <w:t xml:space="preserve">elementary relay </w:t>
      </w:r>
    </w:p>
    <w:p>
      <w:pPr>
        <w:shd w:val="clea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动作和释放无任何预定延时的有或无继电器。 </w:t>
      </w:r>
    </w:p>
    <w:p>
      <w:pPr>
        <w:shd w:val="clear"/>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[GB/T </w:t>
      </w:r>
      <w:r>
        <w:rPr>
          <w:rFonts w:hint="eastAsia" w:ascii="宋体" w:hAnsi="宋体" w:cs="宋体"/>
          <w:color w:val="auto"/>
          <w:sz w:val="21"/>
          <w:szCs w:val="21"/>
          <w:highlight w:val="none"/>
          <w:lang w:val="en-US" w:eastAsia="zh-CN"/>
        </w:rPr>
        <w:t>21711.1-2008</w:t>
      </w:r>
      <w:r>
        <w:rPr>
          <w:rFonts w:hint="eastAsia" w:ascii="宋体" w:hAnsi="宋体" w:eastAsia="宋体" w:cs="宋体"/>
          <w:color w:val="auto"/>
          <w:sz w:val="21"/>
          <w:szCs w:val="21"/>
          <w:highlight w:val="none"/>
          <w:lang w:val="en-US" w:eastAsia="zh-CN"/>
        </w:rPr>
        <w:t>，定义 3.</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 xml:space="preserve">] </w:t>
      </w:r>
    </w:p>
    <w:p>
      <w:pPr>
        <w:shd w:val="clear"/>
        <w:ind w:firstLine="480"/>
        <w:rPr>
          <w:rFonts w:hint="default" w:ascii="宋体" w:hAnsi="宋体" w:cs="宋体"/>
          <w:color w:val="auto"/>
          <w:sz w:val="21"/>
          <w:szCs w:val="21"/>
          <w:highlight w:val="none"/>
          <w:lang w:val="en-US" w:eastAsia="zh-CN"/>
        </w:rPr>
      </w:pPr>
    </w:p>
    <w:p>
      <w:pPr>
        <w:shd w:val="clear"/>
        <w:outlineLvl w:val="1"/>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rPr>
        <w:t>3.</w:t>
      </w:r>
      <w:r>
        <w:rPr>
          <w:rFonts w:hint="eastAsia" w:ascii="黑体" w:hAnsi="黑体" w:eastAsia="黑体" w:cs="黑体"/>
          <w:color w:val="auto"/>
          <w:sz w:val="21"/>
          <w:szCs w:val="21"/>
          <w:highlight w:val="none"/>
          <w:lang w:val="en-US" w:eastAsia="zh-CN"/>
        </w:rPr>
        <w:t>5</w:t>
      </w:r>
    </w:p>
    <w:p>
      <w:pPr>
        <w:shd w:val="clear"/>
        <w:ind w:firstLine="48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生命周期清单分析 life cycle inventory analysis(LCI）</w:t>
      </w:r>
    </w:p>
    <w:p>
      <w:pPr>
        <w:shd w:val="clea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生命周期评价中对所研究产品整个生命周期输入和输出进行汇编和量化的阶段。</w:t>
      </w:r>
    </w:p>
    <w:p>
      <w:pPr>
        <w:shd w:val="clear"/>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［GB/T 24040-2008,定义3.3］</w:t>
      </w:r>
    </w:p>
    <w:p>
      <w:pPr>
        <w:shd w:val="clea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6</w:t>
      </w:r>
    </w:p>
    <w:p>
      <w:pPr>
        <w:shd w:val="clea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生命周期影响评价  life cycle impact assessment (LCIA)</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生命周期评价中理解和评价产品系统在产品整个生命周期中的潜在环境影响大小和重要性的阶段。</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24040-2008,定义3.4］</w:t>
      </w:r>
    </w:p>
    <w:p>
      <w:pPr>
        <w:shd w:val="clea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7</w:t>
      </w:r>
    </w:p>
    <w:p>
      <w:pPr>
        <w:shd w:val="clea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功能单位  functional unit</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用来作为基准单位的量化的产品系统性能。</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24040-2008,定义3.20］</w:t>
      </w:r>
    </w:p>
    <w:p>
      <w:pPr>
        <w:shd w:val="clea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8</w:t>
      </w:r>
    </w:p>
    <w:p>
      <w:pPr>
        <w:shd w:val="clea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系统边界  system b</w:t>
      </w:r>
      <w:r>
        <w:rPr>
          <w:rFonts w:hint="eastAsia" w:ascii="黑体" w:hAnsi="黑体" w:eastAsia="黑体" w:cs="黑体"/>
          <w:color w:val="auto"/>
          <w:szCs w:val="21"/>
          <w:highlight w:val="none"/>
          <w:lang w:val="en-US" w:eastAsia="zh-CN"/>
        </w:rPr>
        <w:t>o</w:t>
      </w:r>
      <w:r>
        <w:rPr>
          <w:rFonts w:hint="eastAsia" w:ascii="黑体" w:hAnsi="黑体" w:eastAsia="黑体" w:cs="黑体"/>
          <w:color w:val="auto"/>
          <w:szCs w:val="21"/>
          <w:highlight w:val="none"/>
        </w:rPr>
        <w:t>undary</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通过一组</w:t>
      </w:r>
      <w:r>
        <w:rPr>
          <w:rFonts w:hint="eastAsia" w:ascii="宋体" w:hAnsi="宋体" w:cs="宋体"/>
          <w:color w:val="auto"/>
          <w:szCs w:val="21"/>
          <w:highlight w:val="none"/>
          <w:lang w:val="en-US" w:eastAsia="zh-CN"/>
        </w:rPr>
        <w:t>准则</w:t>
      </w:r>
      <w:r>
        <w:rPr>
          <w:rFonts w:hint="eastAsia" w:ascii="宋体" w:hAnsi="宋体" w:cs="宋体"/>
          <w:color w:val="auto"/>
          <w:szCs w:val="21"/>
          <w:highlight w:val="none"/>
        </w:rPr>
        <w:t>确定哪些单元过程属于产品系统的一部分。</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24040-2008,定义3.32］</w:t>
      </w:r>
    </w:p>
    <w:p>
      <w:pPr>
        <w:shd w:val="clea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9</w:t>
      </w:r>
    </w:p>
    <w:p>
      <w:pPr>
        <w:shd w:val="clear"/>
        <w:ind w:firstLine="480"/>
        <w:rPr>
          <w:rFonts w:hint="eastAsia" w:ascii="黑体" w:hAnsi="黑体" w:eastAsia="黑体" w:cs="黑体"/>
          <w:color w:val="auto"/>
          <w:sz w:val="24"/>
          <w:highlight w:val="none"/>
        </w:rPr>
      </w:pPr>
      <w:r>
        <w:rPr>
          <w:rFonts w:hint="eastAsia" w:ascii="黑体" w:hAnsi="黑体" w:eastAsia="黑体" w:cs="黑体"/>
          <w:color w:val="auto"/>
          <w:szCs w:val="21"/>
          <w:highlight w:val="none"/>
        </w:rPr>
        <w:t>数据质量 data quality</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数据在满足所声明的要求方面的能力特征。</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24040-2008,定义3.19］</w:t>
      </w:r>
    </w:p>
    <w:p>
      <w:pPr>
        <w:shd w:val="clear"/>
        <w:outlineLvl w:val="1"/>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rPr>
        <w:t>3.</w:t>
      </w:r>
      <w:r>
        <w:rPr>
          <w:rFonts w:hint="eastAsia" w:ascii="黑体" w:hAnsi="黑体" w:eastAsia="黑体" w:cs="黑体"/>
          <w:color w:val="auto"/>
          <w:szCs w:val="21"/>
          <w:highlight w:val="none"/>
          <w:lang w:val="en-US" w:eastAsia="zh-CN"/>
        </w:rPr>
        <w:t>10</w:t>
      </w:r>
    </w:p>
    <w:p>
      <w:pPr>
        <w:shd w:val="clea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取舍准则  cut-off criteria</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对与单元过程或产品系统相关的物质和能量流的数量或环境影响重要性程度是否被排除在研究范围之外所做的规定。</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24040-2008,定义3.18］</w:t>
      </w:r>
    </w:p>
    <w:p>
      <w:pPr>
        <w:shd w:val="clea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3.1</w:t>
      </w:r>
      <w:r>
        <w:rPr>
          <w:rFonts w:hint="eastAsia" w:ascii="黑体" w:hAnsi="黑体" w:eastAsia="黑体" w:cs="黑体"/>
          <w:color w:val="auto"/>
          <w:szCs w:val="21"/>
          <w:highlight w:val="none"/>
          <w:lang w:val="en-US" w:eastAsia="zh-CN"/>
        </w:rPr>
        <w:t>1</w:t>
      </w:r>
    </w:p>
    <w:p>
      <w:pPr>
        <w:shd w:val="clea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影响类型  impact category</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所关注的环境问题的分类，生命周期清单分析的结果可划归到其中。</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［GB/T 24040-2008,定义3.39］</w:t>
      </w:r>
    </w:p>
    <w:p>
      <w:pPr>
        <w:shd w:val="clear"/>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3.1</w:t>
      </w:r>
      <w:r>
        <w:rPr>
          <w:rFonts w:hint="eastAsia" w:ascii="黑体" w:hAnsi="黑体" w:eastAsia="黑体" w:cs="黑体"/>
          <w:color w:val="auto"/>
          <w:szCs w:val="21"/>
          <w:highlight w:val="none"/>
          <w:lang w:val="en-US" w:eastAsia="zh-CN"/>
        </w:rPr>
        <w:t>2</w:t>
      </w:r>
    </w:p>
    <w:p>
      <w:pPr>
        <w:shd w:val="clear"/>
        <w:ind w:firstLine="480"/>
        <w:rPr>
          <w:rFonts w:hint="eastAsia" w:ascii="黑体" w:hAnsi="黑体" w:eastAsia="黑体" w:cs="黑体"/>
          <w:color w:val="auto"/>
          <w:szCs w:val="21"/>
          <w:highlight w:val="none"/>
        </w:rPr>
      </w:pPr>
      <w:r>
        <w:rPr>
          <w:rFonts w:hint="eastAsia" w:ascii="黑体" w:hAnsi="黑体" w:eastAsia="黑体" w:cs="黑体"/>
          <w:color w:val="auto"/>
          <w:szCs w:val="21"/>
          <w:highlight w:val="none"/>
        </w:rPr>
        <w:t>Ⅲ型环境声明  type Ⅲ environmental declaration</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提供基于预设参数的量化环境数据的环境声明，必要时包括附加环境信息。</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注1：预设参数基于GB/T 24040 系列标准，包括GB/T 24040和GB/T 24044。</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注2：附加环境信息可以是定性的也可以是定量的。</w:t>
      </w:r>
    </w:p>
    <w:p>
      <w:pPr>
        <w:shd w:val="clear"/>
        <w:ind w:firstLine="48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［GB/T 24025-2009,定义3.2］</w:t>
      </w:r>
    </w:p>
    <w:p>
      <w:pPr>
        <w:pStyle w:val="9"/>
        <w:shd w:val="clear"/>
        <w:spacing w:before="312" w:after="312"/>
        <w:rPr>
          <w:rFonts w:hint="eastAsia"/>
          <w:color w:val="auto"/>
          <w:highlight w:val="none"/>
        </w:rPr>
      </w:pPr>
      <w:r>
        <w:rPr>
          <w:rFonts w:hint="eastAsia"/>
          <w:color w:val="auto"/>
          <w:highlight w:val="none"/>
        </w:rPr>
        <w:t>产品描述</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产品描述应使用户能够明确</w:t>
      </w:r>
      <w:r>
        <w:rPr>
          <w:rFonts w:hint="eastAsia" w:ascii="宋体" w:hAnsi="宋体" w:cs="宋体"/>
          <w:color w:val="auto"/>
          <w:szCs w:val="21"/>
          <w:highlight w:val="none"/>
          <w:lang w:val="en-US" w:eastAsia="zh-CN"/>
        </w:rPr>
        <w:t>地</w:t>
      </w:r>
      <w:r>
        <w:rPr>
          <w:rFonts w:hint="eastAsia" w:ascii="宋体" w:hAnsi="宋体" w:cs="宋体"/>
          <w:color w:val="auto"/>
          <w:szCs w:val="21"/>
          <w:highlight w:val="none"/>
        </w:rPr>
        <w:t>识别产品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包括但不限于以下</w:t>
      </w:r>
      <w:r>
        <w:rPr>
          <w:rFonts w:hint="default" w:ascii="Times New Roman" w:hAnsi="Times New Roman" w:cs="Times New Roman"/>
          <w:color w:val="auto"/>
          <w:szCs w:val="21"/>
          <w:highlight w:val="none"/>
          <w:lang w:val="en-US" w:eastAsia="zh-CN"/>
        </w:rPr>
        <w:t>a）~g）</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w:t>
      </w:r>
    </w:p>
    <w:p>
      <w:pPr>
        <w:shd w:val="clear"/>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a）产品名称（型号、规格、分类、用途）；</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b）产品的简单示意图；</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c）产品的主要技术参数和性能；</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d）产品规格书或说明书；</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e）产品满足相关质量标准的证明文件；</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f）产品所获取的其他标志等</w:t>
      </w:r>
      <w:r>
        <w:rPr>
          <w:rFonts w:hint="eastAsia" w:ascii="宋体" w:hAnsi="宋体" w:cs="宋体"/>
          <w:color w:val="auto"/>
          <w:szCs w:val="21"/>
          <w:highlight w:val="none"/>
          <w:lang w:eastAsia="zh-CN"/>
        </w:rPr>
        <w:t>；</w:t>
      </w:r>
    </w:p>
    <w:p>
      <w:pPr>
        <w:shd w:val="clea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g）良品率。</w:t>
      </w:r>
    </w:p>
    <w:p>
      <w:pPr>
        <w:pStyle w:val="9"/>
        <w:shd w:val="clear"/>
        <w:spacing w:before="312" w:after="312"/>
        <w:rPr>
          <w:rFonts w:hint="eastAsia"/>
          <w:color w:val="auto"/>
          <w:szCs w:val="21"/>
          <w:highlight w:val="none"/>
        </w:rPr>
      </w:pPr>
      <w:r>
        <w:rPr>
          <w:rFonts w:hint="eastAsia"/>
          <w:color w:val="auto"/>
          <w:szCs w:val="21"/>
          <w:highlight w:val="none"/>
        </w:rPr>
        <w:t>产品生命周期评价</w:t>
      </w:r>
    </w:p>
    <w:p>
      <w:pPr>
        <w:shd w:val="clear"/>
        <w:spacing w:before="156" w:beforeLines="50" w:after="156" w:afterLines="50"/>
        <w:outlineLvl w:val="1"/>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 xml:space="preserve">5.1  </w:t>
      </w:r>
      <w:r>
        <w:rPr>
          <w:rFonts w:hint="eastAsia" w:ascii="黑体" w:hAnsi="黑体" w:eastAsia="黑体" w:cs="黑体"/>
          <w:color w:val="auto"/>
          <w:szCs w:val="21"/>
          <w:highlight w:val="none"/>
          <w:lang w:val="en-US" w:eastAsia="zh-CN"/>
        </w:rPr>
        <w:t>目的</w:t>
      </w:r>
    </w:p>
    <w:p>
      <w:pPr>
        <w:shd w:val="clear"/>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基础机电继电器产品</w:t>
      </w:r>
      <w:r>
        <w:rPr>
          <w:rFonts w:hint="eastAsia" w:ascii="宋体" w:hAnsi="宋体" w:eastAsia="宋体" w:cs="宋体"/>
          <w:i w:val="0"/>
          <w:iCs w:val="0"/>
          <w:caps w:val="0"/>
          <w:color w:val="auto"/>
          <w:spacing w:val="0"/>
          <w:sz w:val="21"/>
          <w:szCs w:val="21"/>
          <w:highlight w:val="none"/>
          <w:shd w:val="clear" w:fill="auto"/>
        </w:rPr>
        <w:t>生命周期评价研究应明确陈述应用意图、进行该项评价的理由、结果的使用对象(评价结果的预期交流对象)以及是否用于向公众发布的对比论断等信息。</w:t>
      </w:r>
    </w:p>
    <w:p>
      <w:pPr>
        <w:shd w:val="clear"/>
        <w:spacing w:before="156" w:beforeLines="50" w:after="156" w:afterLines="50"/>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5.2  范围</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5.2.1  功能单位</w:t>
      </w:r>
    </w:p>
    <w:p>
      <w:pPr>
        <w:shd w:val="clea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生产</w:t>
      </w:r>
      <w:r>
        <w:rPr>
          <w:rFonts w:hint="eastAsia" w:ascii="宋体" w:hAnsi="宋体" w:cs="宋体"/>
          <w:color w:val="auto"/>
          <w:szCs w:val="21"/>
          <w:highlight w:val="none"/>
          <w:lang w:val="en-US" w:eastAsia="zh-CN"/>
        </w:rPr>
        <w:t>1个基础机电继电器</w:t>
      </w:r>
      <w:r>
        <w:rPr>
          <w:rFonts w:hint="eastAsia" w:ascii="宋体" w:hAnsi="宋体" w:cs="宋体"/>
          <w:color w:val="auto"/>
          <w:szCs w:val="21"/>
          <w:highlight w:val="none"/>
        </w:rPr>
        <w:t>。</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5.2.2系统边界</w:t>
      </w:r>
    </w:p>
    <w:p>
      <w:pPr>
        <w:shd w:val="clea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本标准界定的基础机电继电器系统边界，如图1所示，从原辅料和能源开采、生产，运输，产品生产到产品出厂为止（摇篮到大门），包括：</w:t>
      </w:r>
    </w:p>
    <w:p>
      <w:pPr>
        <w:shd w:val="clea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a）原料开采、生产（铁矿石开采，轭铁生产等）；</w:t>
      </w:r>
    </w:p>
    <w:p>
      <w:pPr>
        <w:shd w:val="clea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b）主要辅料开采、生产（润滑油生产等）；</w:t>
      </w:r>
    </w:p>
    <w:p>
      <w:pPr>
        <w:shd w:val="clea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c）能源开采、生产（电力生产等）；</w:t>
      </w:r>
    </w:p>
    <w:p>
      <w:pPr>
        <w:shd w:val="clea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d）原辅料及能源运输；</w:t>
      </w:r>
    </w:p>
    <w:p>
      <w:pPr>
        <w:shd w:val="clear"/>
        <w:ind w:firstLine="420" w:firstLineChars="200"/>
        <w:outlineLvl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e）基础机电继电器生产。</w:t>
      </w:r>
    </w:p>
    <w:p>
      <w:pPr>
        <w:shd w:val="clear"/>
        <w:outlineLvl w:val="1"/>
        <w:rPr>
          <w:rFonts w:hint="eastAsia" w:ascii="黑体" w:hAnsi="黑体" w:eastAsia="黑体" w:cs="黑体"/>
          <w:b/>
          <w:bCs/>
          <w:color w:val="auto"/>
          <w:sz w:val="24"/>
          <w:szCs w:val="24"/>
          <w:highlight w:val="none"/>
          <w:lang w:val="en-US" w:eastAsia="zh-CN"/>
        </w:rPr>
      </w:pPr>
      <w:r>
        <w:rPr>
          <w:rFonts w:ascii="宋体" w:hAnsi="宋体" w:cs="宋体"/>
          <w:color w:val="auto"/>
          <w:szCs w:val="21"/>
          <w:highlight w:val="none"/>
        </w:rPr>
        <w:object>
          <v:shape id="_x0000_i1025" o:spt="75" type="#_x0000_t75" style="height:303.65pt;width:463.95pt;" o:ole="t" filled="f" o:preferrelative="t" stroked="f" coordsize="21600,21600">
            <v:path/>
            <v:fill on="f" focussize="0,0"/>
            <v:stroke on="f"/>
            <v:imagedata r:id="rId5" o:title=""/>
            <o:lock v:ext="edit" aspectratio="f"/>
            <w10:wrap type="none"/>
            <w10:anchorlock/>
          </v:shape>
          <o:OLEObject Type="Embed" ProgID="Visio.Drawing.15" ShapeID="_x0000_i1025" DrawAspect="Content" ObjectID="_1468075725" r:id="rId4">
            <o:LockedField>false</o:LockedField>
          </o:OLEObject>
        </w:object>
      </w:r>
    </w:p>
    <w:p>
      <w:pPr>
        <w:shd w:val="clear"/>
        <w:jc w:val="center"/>
        <w:outlineLvl w:val="1"/>
        <w:rPr>
          <w:rFonts w:hint="eastAsia" w:ascii="宋体" w:hAnsi="宋体" w:cs="宋体"/>
          <w:color w:val="auto"/>
          <w:sz w:val="24"/>
          <w:szCs w:val="24"/>
          <w:highlight w:val="none"/>
          <w:lang w:val="en-US" w:eastAsia="zh-CN"/>
        </w:rPr>
      </w:pPr>
      <w:r>
        <w:rPr>
          <w:rFonts w:hint="eastAsia" w:ascii="宋体" w:hAnsi="宋体" w:cs="宋体"/>
          <w:color w:val="auto"/>
          <w:szCs w:val="21"/>
          <w:highlight w:val="none"/>
        </w:rPr>
        <w:t xml:space="preserve">图1 </w:t>
      </w:r>
      <w:r>
        <w:rPr>
          <w:rFonts w:hint="eastAsia" w:ascii="宋体" w:hAnsi="宋体" w:cs="宋体"/>
          <w:color w:val="auto"/>
          <w:szCs w:val="21"/>
          <w:highlight w:val="none"/>
          <w:lang w:val="en-US" w:eastAsia="zh-CN"/>
        </w:rPr>
        <w:t>基础机电继电器</w:t>
      </w:r>
      <w:r>
        <w:rPr>
          <w:rFonts w:hint="eastAsia" w:ascii="宋体" w:hAnsi="宋体" w:cs="宋体"/>
          <w:color w:val="auto"/>
          <w:szCs w:val="21"/>
          <w:highlight w:val="none"/>
        </w:rPr>
        <w:t>生产系统边界</w:t>
      </w:r>
    </w:p>
    <w:p>
      <w:pPr>
        <w:shd w:val="clear"/>
        <w:ind w:firstLine="420" w:firstLineChars="200"/>
        <w:rPr>
          <w:rFonts w:hint="eastAsia" w:ascii="宋体" w:hAnsi="宋体" w:cs="宋体"/>
          <w:color w:val="auto"/>
          <w:sz w:val="24"/>
          <w:szCs w:val="24"/>
          <w:highlight w:val="none"/>
          <w:lang w:val="en-US" w:eastAsia="zh-CN"/>
        </w:rPr>
      </w:pPr>
      <w:r>
        <w:rPr>
          <w:rFonts w:hint="eastAsia" w:ascii="宋体" w:hAnsi="宋体" w:cs="宋体"/>
          <w:color w:val="auto"/>
          <w:szCs w:val="21"/>
          <w:highlight w:val="none"/>
          <w:lang w:val="en-US" w:eastAsia="zh-CN"/>
        </w:rPr>
        <w:t>基础机电继电器典型生产工艺流程图见附录B。</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5.2.3 数据的描述</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数据包括企业现场数据和背景数据。</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企业现场数据包括</w:t>
      </w:r>
      <w:r>
        <w:rPr>
          <w:rFonts w:hint="eastAsia" w:ascii="宋体" w:hAnsi="宋体" w:cs="宋体"/>
          <w:color w:val="auto"/>
          <w:szCs w:val="21"/>
          <w:highlight w:val="none"/>
          <w:lang w:val="en-US" w:eastAsia="zh-CN"/>
        </w:rPr>
        <w:t>基础机电继电器</w:t>
      </w:r>
      <w:r>
        <w:rPr>
          <w:rFonts w:hint="eastAsia" w:ascii="宋体" w:hAnsi="宋体" w:cs="宋体"/>
          <w:color w:val="auto"/>
          <w:szCs w:val="21"/>
          <w:highlight w:val="none"/>
        </w:rPr>
        <w:t>生产阶段的原材料消耗、能耗、污染物排放以及运输等清单数据,对数据的获得方式和来源均应予以说明。</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背景数据包括原材料开采与能源生产的清单数据以及原材料运输所需的运输清单数据。所有数据应予以详细说明,包括所用</w:t>
      </w:r>
      <w:r>
        <w:rPr>
          <w:rFonts w:hint="eastAsia" w:ascii="宋体" w:hAnsi="宋体" w:cs="宋体"/>
          <w:color w:val="auto"/>
          <w:szCs w:val="21"/>
          <w:highlight w:val="none"/>
          <w:lang w:val="en-US" w:eastAsia="zh-CN"/>
        </w:rPr>
        <w:t>数据的时间和来源</w:t>
      </w:r>
      <w:r>
        <w:rPr>
          <w:rFonts w:hint="eastAsia" w:ascii="宋体" w:hAnsi="宋体" w:cs="宋体"/>
          <w:color w:val="auto"/>
          <w:szCs w:val="21"/>
          <w:highlight w:val="none"/>
        </w:rPr>
        <w:t>。</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5.2.4输入和输出的选择准则</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本标准确定的取舍准则为清单分析和环境影响贡献均小于2%的物质和能量流</w:t>
      </w:r>
      <w:r>
        <w:rPr>
          <w:rFonts w:hint="eastAsia" w:ascii="宋体" w:hAnsi="宋体" w:cs="宋体"/>
          <w:color w:val="auto"/>
          <w:szCs w:val="21"/>
          <w:highlight w:val="none"/>
          <w:lang w:val="en-US" w:eastAsia="zh-CN"/>
        </w:rPr>
        <w:t>可以忽略</w:t>
      </w:r>
      <w:r>
        <w:rPr>
          <w:rFonts w:hint="eastAsia" w:ascii="宋体" w:hAnsi="宋体" w:cs="宋体"/>
          <w:color w:val="auto"/>
          <w:szCs w:val="21"/>
          <w:highlight w:val="none"/>
        </w:rPr>
        <w:t>。应遵循：</w:t>
      </w:r>
    </w:p>
    <w:p>
      <w:pPr>
        <w:shd w:val="clea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a）能源的所有输入均列出；</w:t>
      </w:r>
    </w:p>
    <w:p>
      <w:pPr>
        <w:shd w:val="clea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b）原料的所有输入均列出；</w:t>
      </w:r>
    </w:p>
    <w:p>
      <w:pPr>
        <w:shd w:val="clear"/>
        <w:ind w:firstLine="420" w:firstLineChars="200"/>
        <w:outlineLvl w:val="2"/>
        <w:rPr>
          <w:rFonts w:hint="eastAsia" w:ascii="宋体" w:hAnsi="宋体" w:cs="宋体"/>
          <w:color w:val="auto"/>
          <w:szCs w:val="21"/>
          <w:highlight w:val="none"/>
          <w:lang w:val="en-US" w:eastAsia="zh-CN"/>
        </w:rPr>
      </w:pPr>
      <w:r>
        <w:rPr>
          <w:rFonts w:hint="eastAsia" w:ascii="宋体" w:hAnsi="宋体" w:cs="宋体"/>
          <w:color w:val="auto"/>
          <w:szCs w:val="21"/>
          <w:highlight w:val="none"/>
        </w:rPr>
        <w:t>c）辅助材料质量小于原料总消耗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的项目输入可忽略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忽略总量不超过5%）</w:t>
      </w:r>
      <w:r>
        <w:rPr>
          <w:rFonts w:hint="eastAsia" w:ascii="宋体" w:hAnsi="宋体" w:cs="宋体"/>
          <w:color w:val="auto"/>
          <w:szCs w:val="21"/>
          <w:highlight w:val="none"/>
        </w:rPr>
        <w:t>；</w:t>
      </w:r>
    </w:p>
    <w:p>
      <w:pPr>
        <w:widowControl/>
        <w:shd w:val="clear"/>
        <w:ind w:firstLine="420" w:firstLineChars="200"/>
        <w:jc w:val="left"/>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大气污染物项目均列出</w:t>
      </w:r>
      <w:r>
        <w:rPr>
          <w:rFonts w:hint="eastAsia" w:ascii="宋体" w:hAnsi="宋体" w:cs="宋体"/>
          <w:color w:val="auto"/>
          <w:szCs w:val="21"/>
          <w:highlight w:val="none"/>
        </w:rPr>
        <w:t>；</w:t>
      </w:r>
    </w:p>
    <w:p>
      <w:pPr>
        <w:widowControl/>
        <w:shd w:val="clear"/>
        <w:ind w:firstLine="420" w:firstLineChars="200"/>
        <w:jc w:val="left"/>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w:t>
      </w:r>
      <w:r>
        <w:rPr>
          <w:rFonts w:hint="eastAsia" w:ascii="宋体" w:hAnsi="宋体" w:eastAsia="宋体" w:cs="宋体"/>
          <w:color w:val="auto"/>
          <w:kern w:val="2"/>
          <w:sz w:val="21"/>
          <w:szCs w:val="21"/>
          <w:highlight w:val="none"/>
          <w:lang w:val="en-US" w:eastAsia="zh-CN" w:bidi="ar"/>
        </w:rPr>
        <w:t>GB</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39731</w:t>
      </w:r>
      <w:r>
        <w:rPr>
          <w:rFonts w:hint="eastAsia" w:ascii="宋体" w:hAnsi="宋体" w:cs="宋体"/>
          <w:color w:val="auto"/>
          <w:kern w:val="2"/>
          <w:sz w:val="21"/>
          <w:szCs w:val="21"/>
          <w:highlight w:val="none"/>
          <w:lang w:val="en-US" w:eastAsia="zh-CN" w:bidi="ar"/>
        </w:rPr>
        <w:t>表1中的</w:t>
      </w:r>
      <w:r>
        <w:rPr>
          <w:rFonts w:hint="eastAsia" w:ascii="宋体" w:hAnsi="宋体" w:cs="宋体"/>
          <w:color w:val="auto"/>
          <w:szCs w:val="21"/>
          <w:highlight w:val="none"/>
        </w:rPr>
        <w:t>水体</w:t>
      </w:r>
      <w:r>
        <w:rPr>
          <w:rFonts w:hint="eastAsia" w:ascii="宋体" w:hAnsi="宋体" w:cs="宋体"/>
          <w:color w:val="auto"/>
          <w:kern w:val="2"/>
          <w:sz w:val="21"/>
          <w:szCs w:val="21"/>
          <w:highlight w:val="none"/>
          <w:lang w:val="en-US" w:eastAsia="zh-CN" w:bidi="ar"/>
        </w:rPr>
        <w:t>污染物项目</w:t>
      </w:r>
      <w:r>
        <w:rPr>
          <w:rFonts w:hint="eastAsia" w:ascii="宋体" w:hAnsi="宋体" w:cs="宋体"/>
          <w:color w:val="auto"/>
          <w:szCs w:val="21"/>
          <w:highlight w:val="none"/>
        </w:rPr>
        <w:t>均列出；</w:t>
      </w:r>
    </w:p>
    <w:p>
      <w:pPr>
        <w:shd w:val="clea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lang w:val="en-US" w:eastAsia="zh-CN"/>
        </w:rPr>
        <w:t>f</w:t>
      </w:r>
      <w:r>
        <w:rPr>
          <w:rFonts w:hint="eastAsia" w:ascii="宋体" w:hAnsi="宋体" w:cs="宋体"/>
          <w:color w:val="auto"/>
          <w:szCs w:val="21"/>
          <w:highlight w:val="none"/>
        </w:rPr>
        <w:t>）危险性固体废弃物排放应列出,小于固体废弃物排放总量1%的</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般性固体废弃物可忽略；</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g</w:t>
      </w:r>
      <w:r>
        <w:rPr>
          <w:rFonts w:hint="eastAsia" w:ascii="宋体" w:hAnsi="宋体" w:cs="宋体"/>
          <w:color w:val="auto"/>
          <w:szCs w:val="21"/>
          <w:highlight w:val="none"/>
        </w:rPr>
        <w:t>）道路与厂房的基础设施、各工序的设备、厂区内人员及生活设施的消耗和排放,均忽略；</w:t>
      </w:r>
    </w:p>
    <w:p>
      <w:pPr>
        <w:shd w:val="clear"/>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h</w:t>
      </w:r>
      <w:r>
        <w:rPr>
          <w:rFonts w:hint="eastAsia" w:ascii="宋体" w:hAnsi="宋体" w:cs="宋体"/>
          <w:color w:val="auto"/>
          <w:szCs w:val="21"/>
          <w:highlight w:val="none"/>
        </w:rPr>
        <w:t>）取舍原则不适用于有毒有害物质，任何有毒有害的物质都应包含于清单中。</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  数据质量</w:t>
      </w:r>
    </w:p>
    <w:p>
      <w:pPr>
        <w:shd w:val="clear"/>
        <w:spacing w:before="156" w:beforeLines="50" w:after="156" w:afterLines="50"/>
        <w:outlineLvl w:val="2"/>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5.2.5.1 数据质量评价要求</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黑体" w:hAnsi="黑体" w:eastAsia="黑体" w:cs="黑体"/>
          <w:color w:val="auto"/>
          <w:szCs w:val="21"/>
          <w:highlight w:val="none"/>
        </w:rPr>
      </w:pPr>
      <w:r>
        <w:rPr>
          <w:rFonts w:hint="eastAsia" w:ascii="宋体" w:hAnsi="宋体" w:cs="宋体"/>
          <w:color w:val="auto"/>
          <w:szCs w:val="21"/>
          <w:highlight w:val="none"/>
          <w:lang w:val="en-US" w:eastAsia="zh-CN"/>
        </w:rPr>
        <w:t>本文件建议采用附录C的方法对数据质量进行评价。</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 xml:space="preserve">  企业现场数据</w:t>
      </w:r>
    </w:p>
    <w:p>
      <w:pPr>
        <w:shd w:val="clear"/>
        <w:ind w:firstLine="48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基础机电继电器企业应填报的清单数据表，见表1。</w:t>
      </w:r>
    </w:p>
    <w:p>
      <w:pPr>
        <w:shd w:val="clear"/>
        <w:ind w:firstLine="480"/>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Cs w:val="21"/>
          <w:highlight w:val="none"/>
          <w:lang w:val="en-US" w:eastAsia="zh-CN"/>
        </w:rPr>
        <w:t>表1基础机电继电器企业填报数据表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579"/>
        <w:gridCol w:w="2577"/>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序号</w:t>
            </w:r>
          </w:p>
        </w:tc>
        <w:tc>
          <w:tcPr>
            <w:tcW w:w="1579"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项目</w:t>
            </w: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物质</w:t>
            </w:r>
          </w:p>
        </w:tc>
        <w:tc>
          <w:tcPr>
            <w:tcW w:w="2391"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restart"/>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1</w:t>
            </w:r>
          </w:p>
        </w:tc>
        <w:tc>
          <w:tcPr>
            <w:tcW w:w="1579" w:type="dxa"/>
            <w:vMerge w:val="restart"/>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原辅材料</w:t>
            </w:r>
          </w:p>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消耗</w:t>
            </w: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漆包线</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default" w:ascii="Times New Roman" w:hAnsi="Times New Roman" w:cs="黑体"/>
                <w:color w:val="auto"/>
                <w:sz w:val="18"/>
                <w:szCs w:val="18"/>
                <w:highlight w:val="none"/>
                <w:lang w:val="en-US" w:eastAsia="zh-CN"/>
              </w:rPr>
              <w:t>轭铁</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default" w:ascii="Times New Roman" w:hAnsi="Times New Roman" w:cs="黑体"/>
                <w:color w:val="auto"/>
                <w:sz w:val="18"/>
                <w:szCs w:val="18"/>
                <w:highlight w:val="none"/>
                <w:lang w:val="en-US" w:eastAsia="zh-CN"/>
              </w:rPr>
              <w:t>线圈架</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default" w:ascii="Times New Roman" w:hAnsi="Times New Roman" w:cs="黑体"/>
                <w:color w:val="auto"/>
                <w:sz w:val="18"/>
                <w:szCs w:val="18"/>
                <w:highlight w:val="none"/>
                <w:lang w:val="en-US" w:eastAsia="zh-CN"/>
              </w:rPr>
              <w:t>铁芯</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default" w:ascii="Times New Roman" w:hAnsi="Times New Roman" w:cs="黑体"/>
                <w:color w:val="auto"/>
                <w:sz w:val="18"/>
                <w:szCs w:val="18"/>
                <w:highlight w:val="none"/>
                <w:lang w:val="en-US" w:eastAsia="zh-CN"/>
              </w:rPr>
              <w:t>簧片</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润滑油</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新鲜水</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51" w:type="dxa"/>
            <w:vMerge w:val="restart"/>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2</w:t>
            </w:r>
          </w:p>
        </w:tc>
        <w:tc>
          <w:tcPr>
            <w:tcW w:w="1579" w:type="dxa"/>
            <w:vMerge w:val="restart"/>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能源消耗</w:t>
            </w: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rPr>
              <w:t>电力</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default" w:ascii="Times New Roman" w:hAnsi="Times New Roman" w:eastAsia="宋体"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煤</w:t>
            </w:r>
          </w:p>
        </w:tc>
        <w:tc>
          <w:tcPr>
            <w:tcW w:w="2391" w:type="dxa"/>
            <w:shd w:val="clear" w:color="auto" w:fill="auto"/>
            <w:vAlign w:val="center"/>
          </w:tcPr>
          <w:p>
            <w:pPr>
              <w:shd w:val="clear"/>
              <w:jc w:val="center"/>
              <w:rPr>
                <w:rFonts w:hint="default" w:ascii="Times New Roman" w:hAnsi="Times New Roman"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eastAsia="宋体"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柴油</w:t>
            </w:r>
          </w:p>
        </w:tc>
        <w:tc>
          <w:tcPr>
            <w:tcW w:w="2391" w:type="dxa"/>
            <w:shd w:val="clear" w:color="auto" w:fill="auto"/>
            <w:vAlign w:val="center"/>
          </w:tcPr>
          <w:p>
            <w:pPr>
              <w:shd w:val="clear"/>
              <w:jc w:val="center"/>
              <w:rPr>
                <w:rFonts w:hint="eastAsia" w:ascii="Times New Roman" w:hAnsi="Times New Roman"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天然气</w:t>
            </w:r>
          </w:p>
        </w:tc>
        <w:tc>
          <w:tcPr>
            <w:tcW w:w="2391" w:type="dxa"/>
            <w:shd w:val="clear" w:color="auto" w:fill="auto"/>
            <w:vAlign w:val="center"/>
          </w:tcPr>
          <w:p>
            <w:pPr>
              <w:shd w:val="clear"/>
              <w:jc w:val="center"/>
              <w:rPr>
                <w:rFonts w:hint="default" w:ascii="Times New Roman" w:hAnsi="Times New Roman"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m</w:t>
            </w:r>
            <w:r>
              <w:rPr>
                <w:rFonts w:hint="eastAsia" w:ascii="Times New Roman" w:hAnsi="Times New Roman" w:cs="黑体"/>
                <w:color w:val="auto"/>
                <w:sz w:val="18"/>
                <w:szCs w:val="18"/>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restart"/>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3</w:t>
            </w:r>
          </w:p>
        </w:tc>
        <w:tc>
          <w:tcPr>
            <w:tcW w:w="1579" w:type="dxa"/>
            <w:vMerge w:val="restart"/>
            <w:shd w:val="clear" w:color="auto" w:fill="auto"/>
            <w:vAlign w:val="center"/>
          </w:tcPr>
          <w:p>
            <w:pPr>
              <w:shd w:val="clear"/>
              <w:jc w:val="center"/>
              <w:rPr>
                <w:rFonts w:hint="eastAsia" w:ascii="Times New Roman" w:hAnsi="Times New Roman" w:cs="黑体"/>
                <w:color w:val="auto"/>
                <w:sz w:val="18"/>
                <w:szCs w:val="18"/>
                <w:highlight w:val="none"/>
              </w:rPr>
            </w:pPr>
            <w:r>
              <w:rPr>
                <w:rFonts w:hint="eastAsia" w:ascii="Times New Roman" w:hAnsi="Times New Roman" w:cs="黑体"/>
                <w:color w:val="auto"/>
                <w:sz w:val="18"/>
                <w:szCs w:val="18"/>
                <w:highlight w:val="none"/>
              </w:rPr>
              <w:t>环境排放</w:t>
            </w: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rPr>
              <w:t>CO</w:t>
            </w:r>
            <w:r>
              <w:rPr>
                <w:rFonts w:hint="eastAsia" w:ascii="Times New Roman" w:hAnsi="Times New Roman" w:cs="黑体"/>
                <w:color w:val="auto"/>
                <w:sz w:val="18"/>
                <w:szCs w:val="18"/>
                <w:highlight w:val="none"/>
                <w:vertAlign w:val="subscript"/>
              </w:rPr>
              <w:t>2</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rPr>
              <w:t>SO</w:t>
            </w:r>
            <w:r>
              <w:rPr>
                <w:rFonts w:hint="eastAsia" w:ascii="Times New Roman" w:hAnsi="Times New Roman" w:cs="黑体"/>
                <w:color w:val="auto"/>
                <w:sz w:val="18"/>
                <w:szCs w:val="18"/>
                <w:highlight w:val="none"/>
                <w:vertAlign w:val="subscript"/>
              </w:rPr>
              <w:t>x</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rPr>
              <w:t>颗粒物</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rPr>
              <w:t>NO</w:t>
            </w:r>
            <w:r>
              <w:rPr>
                <w:rFonts w:hint="eastAsia" w:ascii="Times New Roman" w:hAnsi="Times New Roman" w:cs="黑体"/>
                <w:color w:val="auto"/>
                <w:sz w:val="18"/>
                <w:szCs w:val="18"/>
                <w:highlight w:val="none"/>
                <w:vertAlign w:val="subscript"/>
              </w:rPr>
              <w:t>x</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rPr>
              <w:t>COD</w:t>
            </w:r>
          </w:p>
        </w:tc>
        <w:tc>
          <w:tcPr>
            <w:tcW w:w="2391" w:type="dxa"/>
            <w:shd w:val="clear" w:color="auto" w:fill="auto"/>
            <w:vAlign w:val="center"/>
          </w:tcPr>
          <w:p>
            <w:pPr>
              <w:shd w:val="clear"/>
              <w:jc w:val="center"/>
              <w:rPr>
                <w:rFonts w:ascii="Times New Roman" w:hAnsi="Times New Roman" w:cs="黑体"/>
                <w:color w:val="auto"/>
                <w:sz w:val="18"/>
                <w:szCs w:val="18"/>
                <w:highlight w:val="none"/>
              </w:rPr>
            </w:pPr>
            <w:r>
              <w:rPr>
                <w:rFonts w:hint="eastAsia" w:ascii="Times New Roman" w:hAnsi="Times New Roman" w:cs="黑体"/>
                <w:color w:val="auto"/>
                <w:sz w:val="18"/>
                <w:szCs w:val="18"/>
                <w:highlight w:val="no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1"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1579" w:type="dxa"/>
            <w:vMerge w:val="continue"/>
            <w:shd w:val="clear" w:color="auto" w:fill="auto"/>
            <w:vAlign w:val="center"/>
          </w:tcPr>
          <w:p>
            <w:pPr>
              <w:shd w:val="clear"/>
              <w:jc w:val="center"/>
              <w:rPr>
                <w:rFonts w:hint="eastAsia" w:ascii="Times New Roman" w:hAnsi="Times New Roman" w:cs="黑体"/>
                <w:color w:val="auto"/>
                <w:sz w:val="18"/>
                <w:szCs w:val="18"/>
                <w:highlight w:val="none"/>
              </w:rPr>
            </w:pPr>
          </w:p>
        </w:tc>
        <w:tc>
          <w:tcPr>
            <w:tcW w:w="2577" w:type="dxa"/>
            <w:shd w:val="clear" w:color="auto" w:fill="auto"/>
            <w:vAlign w:val="center"/>
          </w:tcPr>
          <w:p>
            <w:pPr>
              <w:shd w:val="clear"/>
              <w:jc w:val="center"/>
              <w:rPr>
                <w:rFonts w:hint="eastAsia" w:ascii="Times New Roman" w:hAnsi="Times New Roman" w:eastAsia="宋体"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VOC</w:t>
            </w:r>
          </w:p>
        </w:tc>
        <w:tc>
          <w:tcPr>
            <w:tcW w:w="2391" w:type="dxa"/>
            <w:shd w:val="clear" w:color="auto" w:fill="auto"/>
            <w:vAlign w:val="center"/>
          </w:tcPr>
          <w:p>
            <w:pPr>
              <w:shd w:val="clear"/>
              <w:jc w:val="center"/>
              <w:rPr>
                <w:rFonts w:hint="eastAsia" w:ascii="Times New Roman" w:hAnsi="Times New Roman" w:cs="黑体"/>
                <w:color w:val="auto"/>
                <w:sz w:val="18"/>
                <w:szCs w:val="18"/>
                <w:highlight w:val="none"/>
                <w:lang w:val="en-US" w:eastAsia="zh-CN"/>
              </w:rPr>
            </w:pPr>
            <w:r>
              <w:rPr>
                <w:rFonts w:hint="eastAsia" w:ascii="Times New Roman" w:hAnsi="Times New Roman" w:cs="黑体"/>
                <w:color w:val="auto"/>
                <w:sz w:val="18"/>
                <w:szCs w:val="18"/>
                <w:highlight w:val="none"/>
                <w:lang w:val="en-US" w:eastAsia="zh-CN"/>
              </w:rPr>
              <w:t>kg</w:t>
            </w:r>
          </w:p>
        </w:tc>
      </w:tr>
    </w:tbl>
    <w:p>
      <w:pPr>
        <w:shd w:val="clear"/>
        <w:ind w:firstLine="480"/>
        <w:jc w:val="center"/>
        <w:rPr>
          <w:rFonts w:hint="eastAsia" w:ascii="黑体" w:hAnsi="黑体" w:eastAsia="黑体" w:cs="黑体"/>
          <w:color w:val="auto"/>
          <w:sz w:val="24"/>
          <w:szCs w:val="24"/>
          <w:highlight w:val="none"/>
          <w:lang w:val="en-US" w:eastAsia="zh-CN"/>
        </w:rPr>
      </w:pPr>
    </w:p>
    <w:p>
      <w:pPr>
        <w:shd w:val="clea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现场数据的质量要求</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现场数据的质量要求包括：</w:t>
      </w:r>
    </w:p>
    <w:p>
      <w:pPr>
        <w:numPr>
          <w:ilvl w:val="0"/>
          <w:numId w:val="2"/>
        </w:numPr>
        <w:shd w:val="clear"/>
        <w:ind w:firstLine="480"/>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代表性：现场数据应按照企业生产单元收集所确定范围内的生产统计数</w:t>
      </w:r>
      <w:r>
        <w:rPr>
          <w:rFonts w:hint="eastAsia" w:ascii="宋体" w:hAnsi="宋体" w:cs="宋体"/>
          <w:color w:val="auto"/>
          <w:kern w:val="2"/>
          <w:sz w:val="21"/>
          <w:szCs w:val="21"/>
          <w:highlight w:val="none"/>
          <w:lang w:val="en-US" w:eastAsia="zh-CN" w:bidi="ar-SA"/>
        </w:rPr>
        <w:t>据。</w:t>
      </w:r>
    </w:p>
    <w:p>
      <w:pPr>
        <w:numPr>
          <w:ilvl w:val="0"/>
          <w:numId w:val="2"/>
        </w:num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完整性：现场数据应</w:t>
      </w:r>
      <w:r>
        <w:rPr>
          <w:rFonts w:hint="eastAsia" w:ascii="宋体" w:hAnsi="宋体" w:cs="宋体"/>
          <w:color w:val="auto"/>
          <w:szCs w:val="21"/>
          <w:highlight w:val="none"/>
          <w:lang w:val="en-US" w:eastAsia="zh-CN"/>
        </w:rPr>
        <w:t>按5.2.4的要求，采集生产现场数据</w:t>
      </w:r>
      <w:r>
        <w:rPr>
          <w:rFonts w:hint="eastAsia" w:ascii="宋体" w:hAnsi="宋体" w:cs="宋体"/>
          <w:color w:val="auto"/>
          <w:szCs w:val="21"/>
          <w:highlight w:val="none"/>
        </w:rPr>
        <w:t>。</w:t>
      </w:r>
    </w:p>
    <w:p>
      <w:pPr>
        <w:numPr>
          <w:ilvl w:val="0"/>
          <w:numId w:val="2"/>
        </w:num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准确性：现场数据的资源、能源、原材料消耗数据应该来自于</w:t>
      </w:r>
      <w:r>
        <w:rPr>
          <w:rFonts w:hint="eastAsia" w:ascii="宋体" w:hAnsi="宋体" w:cs="宋体"/>
          <w:color w:val="auto"/>
          <w:szCs w:val="21"/>
          <w:highlight w:val="none"/>
          <w:lang w:val="en-US" w:eastAsia="zh-CN"/>
        </w:rPr>
        <w:t>生产</w:t>
      </w:r>
      <w:r>
        <w:rPr>
          <w:rFonts w:hint="eastAsia" w:ascii="宋体" w:hAnsi="宋体" w:cs="宋体"/>
          <w:color w:val="auto"/>
          <w:szCs w:val="21"/>
          <w:highlight w:val="none"/>
        </w:rPr>
        <w:t>单元的实际生产统计记录；环境排放数据优先选择相关的环境监测报告，或由排污因子或物料平衡公式计算获得</w:t>
      </w:r>
      <w:r>
        <w:rPr>
          <w:rFonts w:hint="eastAsia" w:ascii="宋体" w:hAnsi="宋体" w:cs="宋体"/>
          <w:color w:val="auto"/>
          <w:szCs w:val="21"/>
          <w:highlight w:val="none"/>
          <w:lang w:eastAsia="zh-CN"/>
        </w:rPr>
        <w:t>，</w:t>
      </w:r>
      <w:r>
        <w:rPr>
          <w:rFonts w:hint="eastAsia" w:ascii="宋体" w:hAnsi="宋体" w:cs="宋体"/>
          <w:color w:val="auto"/>
          <w:szCs w:val="21"/>
          <w:highlight w:val="none"/>
        </w:rPr>
        <w:t>且需要详细记录相关的原始数据、数据来源、计算过程等。</w:t>
      </w:r>
    </w:p>
    <w:p>
      <w:pPr>
        <w:shd w:val="clear"/>
        <w:ind w:firstLine="420" w:firstLineChars="200"/>
        <w:rPr>
          <w:rFonts w:hint="eastAsia" w:ascii="黑体" w:hAnsi="黑体" w:eastAsia="黑体" w:cs="黑体"/>
          <w:color w:val="auto"/>
          <w:szCs w:val="21"/>
          <w:highlight w:val="none"/>
        </w:rPr>
      </w:pP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一致性：企业现场数据收集时应保持相同的数据来源、统计口径、处理规则等。</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textAlignment w:val="auto"/>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4</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背景数据</w:t>
      </w:r>
    </w:p>
    <w:p>
      <w:pPr>
        <w:shd w:val="clear"/>
        <w:ind w:firstLine="480"/>
        <w:rPr>
          <w:rFonts w:ascii="宋体" w:hAnsi="宋体" w:cs="宋体"/>
          <w:color w:val="auto"/>
          <w:szCs w:val="21"/>
          <w:highlight w:val="none"/>
        </w:rPr>
      </w:pPr>
      <w:r>
        <w:rPr>
          <w:rFonts w:hint="eastAsia" w:ascii="宋体" w:hAnsi="宋体" w:cs="宋体"/>
          <w:color w:val="auto"/>
          <w:szCs w:val="21"/>
          <w:highlight w:val="none"/>
          <w:lang w:val="en-US" w:eastAsia="zh-CN"/>
        </w:rPr>
        <w:t>基础机电继电器</w:t>
      </w:r>
      <w:r>
        <w:rPr>
          <w:rFonts w:hint="eastAsia" w:ascii="宋体" w:hAnsi="宋体" w:cs="宋体"/>
          <w:color w:val="auto"/>
          <w:szCs w:val="21"/>
          <w:highlight w:val="none"/>
        </w:rPr>
        <w:t>生命周期背景数据见表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pPr>
        <w:shd w:val="clear"/>
        <w:ind w:firstLine="48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表2  基础机电继电器生命周期背景数据</w:t>
      </w:r>
    </w:p>
    <w:tbl>
      <w:tblPr>
        <w:tblStyle w:val="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211"/>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tcPr>
          <w:p>
            <w:pPr>
              <w:shd w:val="clea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序号</w:t>
            </w:r>
          </w:p>
        </w:tc>
        <w:tc>
          <w:tcPr>
            <w:tcW w:w="2211" w:type="dxa"/>
            <w:shd w:val="clear" w:color="auto" w:fill="auto"/>
          </w:tcPr>
          <w:p>
            <w:pPr>
              <w:shd w:val="clea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类别</w:t>
            </w:r>
          </w:p>
        </w:tc>
        <w:tc>
          <w:tcPr>
            <w:tcW w:w="4996" w:type="dxa"/>
            <w:shd w:val="clear" w:color="auto" w:fill="auto"/>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lang w:val="en-US" w:eastAsia="zh-CN"/>
              </w:rPr>
            </w:pPr>
          </w:p>
        </w:tc>
        <w:tc>
          <w:tcPr>
            <w:tcW w:w="2211" w:type="dxa"/>
            <w:vMerge w:val="restart"/>
            <w:shd w:val="clear" w:color="auto" w:fill="auto"/>
            <w:vAlign w:val="center"/>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运输</w:t>
            </w: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hint="eastAsia"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铁路运输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lang w:val="en-US" w:eastAsia="zh-CN"/>
              </w:rPr>
            </w:pPr>
          </w:p>
        </w:tc>
        <w:tc>
          <w:tcPr>
            <w:tcW w:w="2211" w:type="dxa"/>
            <w:vMerge w:val="restart"/>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能源生产</w:t>
            </w: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电力生产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柴油生产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煤开采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ascii="黑体" w:hAnsi="黑体" w:eastAsia="黑体" w:cs="黑体"/>
                <w:color w:val="auto"/>
                <w:szCs w:val="21"/>
                <w:highlight w:val="none"/>
              </w:rPr>
            </w:pPr>
          </w:p>
        </w:tc>
        <w:tc>
          <w:tcPr>
            <w:tcW w:w="4996" w:type="dxa"/>
            <w:shd w:val="clear" w:color="auto" w:fill="auto"/>
            <w:vAlign w:val="center"/>
          </w:tcPr>
          <w:p>
            <w:pPr>
              <w:shd w:val="clear"/>
              <w:jc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天然气生产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lang w:val="en-US" w:eastAsia="zh-CN"/>
              </w:rPr>
            </w:pPr>
          </w:p>
        </w:tc>
        <w:tc>
          <w:tcPr>
            <w:tcW w:w="2211" w:type="dxa"/>
            <w:vMerge w:val="restart"/>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原辅料生产</w:t>
            </w: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漆包线生产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bidi="ar"/>
              </w:rPr>
            </w:pPr>
            <w:r>
              <w:rPr>
                <w:rFonts w:hint="default" w:ascii="宋体" w:hAnsi="宋体" w:cs="宋体"/>
                <w:color w:val="auto"/>
                <w:kern w:val="0"/>
                <w:szCs w:val="21"/>
                <w:highlight w:val="none"/>
                <w:lang w:val="en-US" w:eastAsia="zh-CN" w:bidi="ar"/>
              </w:rPr>
              <w:t>铁芯</w:t>
            </w:r>
            <w:r>
              <w:rPr>
                <w:rFonts w:hint="eastAsia" w:ascii="宋体" w:hAnsi="宋体" w:cs="宋体"/>
                <w:color w:val="auto"/>
                <w:kern w:val="0"/>
                <w:szCs w:val="21"/>
                <w:highlight w:val="none"/>
                <w:lang w:val="en-US" w:eastAsia="zh-CN" w:bidi="ar"/>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hint="eastAsia" w:ascii="黑体" w:hAnsi="黑体" w:eastAsia="黑体" w:cs="黑体"/>
                <w:color w:val="auto"/>
                <w:szCs w:val="21"/>
                <w:highlight w:val="none"/>
              </w:rPr>
            </w:pPr>
          </w:p>
        </w:tc>
        <w:tc>
          <w:tcPr>
            <w:tcW w:w="4996" w:type="dxa"/>
            <w:shd w:val="clear" w:color="auto" w:fill="auto"/>
            <w:vAlign w:val="center"/>
          </w:tcPr>
          <w:p>
            <w:pPr>
              <w:shd w:val="clear"/>
              <w:jc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退锡液</w:t>
            </w:r>
            <w:r>
              <w:rPr>
                <w:rFonts w:hint="eastAsia" w:ascii="宋体" w:hAnsi="宋体" w:cs="宋体"/>
                <w:color w:val="auto"/>
                <w:kern w:val="0"/>
                <w:szCs w:val="21"/>
                <w:highlight w:val="none"/>
                <w:lang w:bidi="ar"/>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hint="eastAsia"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val="en-US" w:eastAsia="zh-CN" w:bidi="ar"/>
              </w:rPr>
            </w:pPr>
            <w:r>
              <w:rPr>
                <w:rFonts w:hint="default" w:ascii="宋体" w:hAnsi="宋体" w:cs="宋体"/>
                <w:color w:val="auto"/>
                <w:kern w:val="0"/>
                <w:szCs w:val="21"/>
                <w:highlight w:val="none"/>
                <w:lang w:val="en-US" w:eastAsia="zh-CN" w:bidi="ar"/>
              </w:rPr>
              <w:t>簧片</w:t>
            </w:r>
            <w:r>
              <w:rPr>
                <w:rFonts w:hint="eastAsia" w:ascii="宋体" w:hAnsi="宋体" w:cs="宋体"/>
                <w:color w:val="auto"/>
                <w:kern w:val="0"/>
                <w:szCs w:val="21"/>
                <w:highlight w:val="none"/>
                <w:lang w:val="en-US" w:eastAsia="zh-CN" w:bidi="ar"/>
              </w:rPr>
              <w:t>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hint="eastAsia"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轭铁生产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11" w:type="dxa"/>
            <w:shd w:val="clear" w:color="auto" w:fill="auto"/>
            <w:vAlign w:val="center"/>
          </w:tcPr>
          <w:p>
            <w:pPr>
              <w:numPr>
                <w:ilvl w:val="0"/>
                <w:numId w:val="3"/>
              </w:numPr>
              <w:shd w:val="clear"/>
              <w:ind w:left="425" w:leftChars="0" w:hanging="425" w:firstLineChars="0"/>
              <w:jc w:val="center"/>
              <w:rPr>
                <w:rFonts w:hint="eastAsia" w:ascii="黑体" w:hAnsi="黑体" w:eastAsia="黑体" w:cs="黑体"/>
                <w:color w:val="auto"/>
                <w:szCs w:val="21"/>
                <w:highlight w:val="none"/>
              </w:rPr>
            </w:pPr>
          </w:p>
        </w:tc>
        <w:tc>
          <w:tcPr>
            <w:tcW w:w="2211" w:type="dxa"/>
            <w:vMerge w:val="continue"/>
            <w:shd w:val="clear" w:color="auto" w:fill="auto"/>
            <w:vAlign w:val="center"/>
          </w:tcPr>
          <w:p>
            <w:pPr>
              <w:shd w:val="clear"/>
              <w:jc w:val="center"/>
              <w:rPr>
                <w:rFonts w:hint="eastAsia" w:ascii="黑体" w:hAnsi="黑体" w:eastAsia="黑体" w:cs="黑体"/>
                <w:color w:val="auto"/>
                <w:szCs w:val="21"/>
                <w:highlight w:val="none"/>
              </w:rPr>
            </w:pPr>
          </w:p>
        </w:tc>
        <w:tc>
          <w:tcPr>
            <w:tcW w:w="4996" w:type="dxa"/>
            <w:shd w:val="clear" w:color="auto" w:fill="auto"/>
            <w:vAlign w:val="center"/>
          </w:tcPr>
          <w:p>
            <w:pPr>
              <w:shd w:val="clear"/>
              <w:jc w:val="center"/>
              <w:rPr>
                <w:rFonts w:hint="eastAsia" w:ascii="宋体" w:hAnsi="宋体" w:cs="宋体"/>
                <w:color w:val="auto"/>
                <w:kern w:val="0"/>
                <w:szCs w:val="21"/>
                <w:highlight w:val="none"/>
                <w:lang w:val="en-US" w:eastAsia="zh-CN" w:bidi="ar"/>
              </w:rPr>
            </w:pPr>
            <w:r>
              <w:rPr>
                <w:rFonts w:hint="eastAsia" w:ascii="宋体" w:hAnsi="宋体" w:cs="宋体"/>
                <w:color w:val="auto"/>
                <w:szCs w:val="21"/>
                <w:highlight w:val="none"/>
                <w:lang w:val="en-US" w:eastAsia="zh-CN"/>
              </w:rPr>
              <w:t>润滑油生产</w:t>
            </w:r>
          </w:p>
        </w:tc>
      </w:tr>
    </w:tbl>
    <w:p>
      <w:pPr>
        <w:shd w:val="clear"/>
        <w:outlineLvl w:val="2"/>
        <w:rPr>
          <w:rFonts w:hint="eastAsia" w:ascii="黑体" w:hAnsi="黑体" w:eastAsia="黑体" w:cs="黑体"/>
          <w:color w:val="auto"/>
          <w:szCs w:val="21"/>
          <w:highlight w:val="none"/>
        </w:rPr>
      </w:pPr>
    </w:p>
    <w:p>
      <w:pPr>
        <w:shd w:val="clea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w:t>
      </w:r>
      <w:r>
        <w:rPr>
          <w:rFonts w:hint="eastAsia" w:ascii="黑体" w:hAnsi="黑体" w:eastAsia="黑体" w:cs="黑体"/>
          <w:color w:val="auto"/>
          <w:szCs w:val="21"/>
          <w:highlight w:val="none"/>
          <w:lang w:val="en-US" w:eastAsia="zh-CN"/>
        </w:rPr>
        <w:t>5</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背景数据的质量要求</w:t>
      </w:r>
    </w:p>
    <w:p>
      <w:pPr>
        <w:shd w:val="clear"/>
        <w:ind w:firstLine="48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背景数据的质量要求包括</w:t>
      </w:r>
      <w:r>
        <w:rPr>
          <w:rFonts w:hint="eastAsia" w:ascii="宋体" w:hAnsi="宋体" w:cs="宋体"/>
          <w:color w:val="auto"/>
          <w:szCs w:val="21"/>
          <w:highlight w:val="none"/>
          <w:lang w:eastAsia="zh-CN"/>
        </w:rPr>
        <w:t>：</w:t>
      </w:r>
    </w:p>
    <w:p>
      <w:pPr>
        <w:pStyle w:val="3"/>
        <w:widowControl/>
        <w:shd w:val="clear"/>
        <w:spacing w:beforeAutospacing="0" w:afterAutospacing="0"/>
        <w:ind w:firstLine="420" w:firstLineChars="200"/>
        <w:rPr>
          <w:rFonts w:hint="eastAsia" w:ascii="宋体" w:hAnsi="宋体" w:cs="宋体"/>
          <w:color w:val="auto"/>
          <w:kern w:val="2"/>
          <w:sz w:val="21"/>
          <w:szCs w:val="21"/>
          <w:highlight w:val="none"/>
          <w:lang w:bidi="ar-SA"/>
        </w:rPr>
      </w:pPr>
      <w:r>
        <w:rPr>
          <w:rFonts w:hint="eastAsia" w:ascii="宋体" w:hAnsi="宋体" w:cs="宋体"/>
          <w:color w:val="auto"/>
          <w:kern w:val="2"/>
          <w:sz w:val="21"/>
          <w:szCs w:val="21"/>
          <w:highlight w:val="none"/>
          <w:lang w:val="en-US" w:eastAsia="zh-CN" w:bidi="ar-SA"/>
        </w:rPr>
        <w:t>a）</w:t>
      </w:r>
      <w:r>
        <w:rPr>
          <w:rFonts w:hint="eastAsia" w:ascii="宋体" w:hAnsi="宋体" w:cs="宋体"/>
          <w:color w:val="auto"/>
          <w:kern w:val="2"/>
          <w:sz w:val="21"/>
          <w:szCs w:val="21"/>
          <w:highlight w:val="none"/>
          <w:lang w:bidi="ar-SA"/>
        </w:rPr>
        <w:t>代表性：背景数据应优先选择企业的原材料供应商提供的符合GB/T</w:t>
      </w:r>
      <w:r>
        <w:rPr>
          <w:rFonts w:hint="eastAsia" w:ascii="宋体" w:hAnsi="宋体" w:cs="宋体"/>
          <w:color w:val="auto"/>
          <w:kern w:val="2"/>
          <w:sz w:val="21"/>
          <w:szCs w:val="21"/>
          <w:highlight w:val="none"/>
          <w:lang w:val="en-US" w:eastAsia="zh-CN" w:bidi="ar-SA"/>
        </w:rPr>
        <w:t xml:space="preserve"> </w:t>
      </w:r>
      <w:r>
        <w:rPr>
          <w:rFonts w:hint="eastAsia" w:ascii="宋体" w:hAnsi="宋体" w:cs="宋体"/>
          <w:color w:val="auto"/>
          <w:kern w:val="2"/>
          <w:sz w:val="21"/>
          <w:szCs w:val="21"/>
          <w:highlight w:val="none"/>
          <w:lang w:bidi="ar-SA"/>
        </w:rPr>
        <w:t>24044要求的、经第三方独立验证的上游产品生命周期评价报告中的数据。若无，应优先选择代表中国国内平均生产水平的公开生命周期评价数据，数据的参考年限应优先选择近年数据。在没有符合要求的中国国内数据的情况下，可以选择国外同类技术数据作为背景数据。</w:t>
      </w:r>
    </w:p>
    <w:p>
      <w:pPr>
        <w:numPr>
          <w:ilvl w:val="-1"/>
          <w:numId w:val="0"/>
        </w:num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完整性：表2所确定的所有背景过程均需提供完整的背景数据，背景数据的系统边界应该从资源开采到这些原材料或</w:t>
      </w:r>
      <w:r>
        <w:rPr>
          <w:rFonts w:hint="eastAsia" w:ascii="宋体" w:hAnsi="宋体" w:cs="宋体"/>
          <w:color w:val="auto"/>
          <w:szCs w:val="21"/>
          <w:highlight w:val="none"/>
          <w:lang w:val="en-US" w:eastAsia="zh-CN"/>
        </w:rPr>
        <w:t>能源</w:t>
      </w:r>
      <w:r>
        <w:rPr>
          <w:rFonts w:hint="eastAsia" w:ascii="宋体" w:hAnsi="宋体" w:cs="宋体"/>
          <w:color w:val="auto"/>
          <w:szCs w:val="21"/>
          <w:highlight w:val="none"/>
        </w:rPr>
        <w:t>产品出厂为止。</w:t>
      </w:r>
    </w:p>
    <w:p>
      <w:pPr>
        <w:numPr>
          <w:ilvl w:val="0"/>
          <w:numId w:val="0"/>
        </w:num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c）</w:t>
      </w:r>
      <w:r>
        <w:rPr>
          <w:rFonts w:hint="eastAsia" w:ascii="宋体" w:hAnsi="宋体" w:cs="宋体"/>
          <w:color w:val="auto"/>
          <w:szCs w:val="21"/>
          <w:highlight w:val="none"/>
        </w:rPr>
        <w:t>一致性：所有被选择的背景数据应完整覆盖本标准确定的环境影响类型（</w:t>
      </w:r>
      <w:r>
        <w:rPr>
          <w:rFonts w:hint="eastAsia" w:ascii="宋体" w:hAnsi="宋体" w:cs="宋体"/>
          <w:color w:val="auto"/>
          <w:szCs w:val="21"/>
          <w:highlight w:val="none"/>
        </w:rPr>
        <w:t>如表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所示</w:t>
      </w:r>
      <w:r>
        <w:rPr>
          <w:rFonts w:hint="eastAsia" w:ascii="宋体" w:hAnsi="宋体" w:cs="宋体"/>
          <w:color w:val="auto"/>
          <w:szCs w:val="21"/>
          <w:highlight w:val="none"/>
        </w:rPr>
        <w:t>），并且应将背景数据转换为一致的物质名录后再进行计算。</w:t>
      </w:r>
    </w:p>
    <w:p>
      <w:pPr>
        <w:numPr>
          <w:ilvl w:val="0"/>
          <w:numId w:val="0"/>
        </w:numPr>
        <w:shd w:val="clear"/>
        <w:rPr>
          <w:rFonts w:hint="eastAsia" w:ascii="宋体" w:hAnsi="宋体" w:cs="宋体"/>
          <w:color w:val="auto"/>
          <w:szCs w:val="21"/>
          <w:highlight w:val="none"/>
        </w:rPr>
      </w:pPr>
    </w:p>
    <w:p>
      <w:pPr>
        <w:shd w:val="clear"/>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5.2.5.5  数据质量评价体系</w:t>
      </w:r>
    </w:p>
    <w:p>
      <w:pPr>
        <w:shd w:val="clear"/>
        <w:ind w:firstLine="480"/>
        <w:jc w:val="both"/>
        <w:rPr>
          <w:rFonts w:hint="eastAsia" w:ascii="宋体" w:hAnsi="宋体" w:cs="宋体"/>
          <w:color w:val="auto"/>
          <w:szCs w:val="21"/>
          <w:highlight w:val="none"/>
        </w:rPr>
      </w:pPr>
      <w:r>
        <w:rPr>
          <w:rFonts w:hint="eastAsia" w:ascii="宋体" w:hAnsi="宋体" w:cs="宋体"/>
          <w:color w:val="auto"/>
          <w:szCs w:val="21"/>
          <w:highlight w:val="none"/>
        </w:rPr>
        <w:t>本标准</w:t>
      </w:r>
      <w:r>
        <w:rPr>
          <w:rFonts w:hint="eastAsia" w:ascii="宋体" w:hAnsi="宋体" w:cs="宋体"/>
          <w:color w:val="auto"/>
          <w:szCs w:val="21"/>
          <w:highlight w:val="none"/>
          <w:lang w:val="en-US" w:eastAsia="zh-CN"/>
        </w:rPr>
        <w:t>建议</w:t>
      </w:r>
      <w:r>
        <w:rPr>
          <w:rFonts w:hint="eastAsia" w:ascii="宋体" w:hAnsi="宋体" w:cs="宋体"/>
          <w:color w:val="auto"/>
          <w:szCs w:val="21"/>
          <w:highlight w:val="none"/>
        </w:rPr>
        <w:t>采用数据质量评价体系对数据质量进行评价，</w:t>
      </w:r>
      <w:r>
        <w:rPr>
          <w:rFonts w:hint="eastAsia" w:ascii="宋体" w:hAnsi="宋体" w:cs="宋体"/>
          <w:color w:val="auto"/>
          <w:szCs w:val="21"/>
          <w:highlight w:val="none"/>
          <w:lang w:val="en-US" w:eastAsia="zh-CN"/>
        </w:rPr>
        <w:t>详</w:t>
      </w:r>
      <w:r>
        <w:rPr>
          <w:rFonts w:hint="eastAsia" w:ascii="宋体" w:hAnsi="宋体" w:cs="宋体"/>
          <w:color w:val="auto"/>
          <w:szCs w:val="21"/>
          <w:highlight w:val="none"/>
        </w:rPr>
        <w:t>见</w:t>
      </w:r>
      <w:r>
        <w:rPr>
          <w:rFonts w:hint="eastAsia" w:ascii="宋体" w:hAnsi="宋体" w:cs="宋体"/>
          <w:color w:val="auto"/>
          <w:szCs w:val="21"/>
          <w:highlight w:val="none"/>
          <w:lang w:val="en-US" w:eastAsia="zh-CN"/>
        </w:rPr>
        <w:t>附录C</w:t>
      </w:r>
      <w:r>
        <w:rPr>
          <w:rFonts w:hint="eastAsia" w:ascii="宋体" w:hAnsi="宋体" w:cs="宋体"/>
          <w:color w:val="auto"/>
          <w:szCs w:val="21"/>
          <w:highlight w:val="none"/>
        </w:rPr>
        <w:t>。</w:t>
      </w:r>
    </w:p>
    <w:p>
      <w:pPr>
        <w:shd w:val="clear"/>
        <w:spacing w:before="156" w:beforeLines="50" w:after="156" w:afterLines="50"/>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rPr>
        <w:t>5.3  清单分析</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5.3.1  数据收集</w:t>
      </w:r>
    </w:p>
    <w:p>
      <w:pPr>
        <w:shd w:val="clear"/>
        <w:rPr>
          <w:rFonts w:hint="eastAsia" w:ascii="黑体" w:hAnsi="黑体" w:eastAsia="黑体" w:cs="黑体"/>
          <w:color w:val="auto"/>
          <w:szCs w:val="21"/>
          <w:highlight w:val="none"/>
        </w:rPr>
      </w:pPr>
      <w:r>
        <w:rPr>
          <w:rFonts w:hint="eastAsia" w:ascii="黑体" w:hAnsi="黑体" w:eastAsia="黑体" w:cs="黑体"/>
          <w:bCs/>
          <w:color w:val="auto"/>
          <w:szCs w:val="21"/>
          <w:highlight w:val="none"/>
        </w:rPr>
        <w:t>5.3.1.1  数据收集范围</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数据收集范围应涵盖系统边界中的每</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个单元过程,数据来源应注明出处。数据收集包括现场数据和背景数据的收集。</w:t>
      </w:r>
    </w:p>
    <w:p>
      <w:pPr>
        <w:shd w:val="clear"/>
        <w:outlineLvl w:val="1"/>
        <w:rPr>
          <w:rFonts w:hint="eastAsia" w:ascii="黑体" w:hAnsi="黑体" w:eastAsia="黑体" w:cs="黑体"/>
          <w:color w:val="auto"/>
          <w:szCs w:val="21"/>
          <w:highlight w:val="none"/>
        </w:rPr>
      </w:pPr>
      <w:r>
        <w:rPr>
          <w:rFonts w:hint="eastAsia" w:ascii="黑体" w:hAnsi="黑体" w:eastAsia="黑体" w:cs="黑体"/>
          <w:bCs/>
          <w:color w:val="auto"/>
          <w:szCs w:val="21"/>
          <w:highlight w:val="none"/>
        </w:rPr>
        <w:t>5.3.1.2  数据收集步骤</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数据收集程序主要步骤包括：</w:t>
      </w:r>
    </w:p>
    <w:p>
      <w:pPr>
        <w:numPr>
          <w:ilvl w:val="0"/>
          <w:numId w:val="4"/>
        </w:numPr>
        <w:shd w:val="clear"/>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根据单元过程，进行数据收集</w:t>
      </w:r>
      <w:r>
        <w:rPr>
          <w:rFonts w:hint="eastAsia" w:ascii="宋体" w:hAnsi="宋体" w:cs="宋体"/>
          <w:color w:val="auto"/>
          <w:szCs w:val="21"/>
          <w:highlight w:val="none"/>
          <w:lang w:eastAsia="zh-CN"/>
        </w:rPr>
        <w:t>，</w:t>
      </w:r>
      <w:r>
        <w:rPr>
          <w:rFonts w:hint="eastAsia" w:ascii="宋体" w:hAnsi="宋体" w:cs="宋体"/>
          <w:color w:val="auto"/>
          <w:szCs w:val="21"/>
          <w:highlight w:val="none"/>
        </w:rPr>
        <w:t>见附录A。</w:t>
      </w:r>
    </w:p>
    <w:p>
      <w:pPr>
        <w:numPr>
          <w:ilvl w:val="0"/>
          <w:numId w:val="4"/>
        </w:numPr>
        <w:shd w:val="clear"/>
        <w:ind w:left="0" w:leftChars="0"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数据审定：为避免现场报送的数据发生</w:t>
      </w:r>
      <w:r>
        <w:rPr>
          <w:rFonts w:hint="eastAsia" w:ascii="宋体" w:hAnsi="宋体" w:cs="宋体"/>
          <w:color w:val="auto"/>
          <w:szCs w:val="21"/>
          <w:highlight w:val="none"/>
          <w:lang w:val="en-US" w:eastAsia="zh-CN"/>
        </w:rPr>
        <w:t>认知</w:t>
      </w:r>
      <w:r>
        <w:rPr>
          <w:rFonts w:hint="eastAsia" w:ascii="宋体" w:hAnsi="宋体" w:cs="宋体"/>
          <w:color w:val="auto"/>
          <w:szCs w:val="21"/>
          <w:highlight w:val="none"/>
        </w:rPr>
        <w:t>错误，收集的单元过程数据需要经过确认程序。</w:t>
      </w:r>
    </w:p>
    <w:p>
      <w:pPr>
        <w:numPr>
          <w:ilvl w:val="0"/>
          <w:numId w:val="4"/>
        </w:numPr>
        <w:shd w:val="clear"/>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数据审定的原则：</w:t>
      </w:r>
    </w:p>
    <w:p>
      <w:pPr>
        <w:shd w:val="clea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1）物质平衡：主要指生产过程中的投入与产出是否平衡；</w:t>
      </w:r>
    </w:p>
    <w:p>
      <w:pPr>
        <w:shd w:val="clear"/>
        <w:ind w:left="1050" w:leftChars="400" w:hanging="210" w:hangingChars="100"/>
        <w:rPr>
          <w:rFonts w:hint="eastAsia" w:ascii="宋体" w:hAnsi="宋体" w:cs="宋体"/>
          <w:color w:val="auto"/>
          <w:szCs w:val="21"/>
          <w:highlight w:val="none"/>
        </w:rPr>
      </w:pPr>
      <w:r>
        <w:rPr>
          <w:rFonts w:hint="eastAsia" w:ascii="宋体" w:hAnsi="宋体" w:cs="宋体"/>
          <w:color w:val="auto"/>
          <w:szCs w:val="21"/>
          <w:highlight w:val="none"/>
        </w:rPr>
        <w:t>2）碳平衡:指判断输入的能源、辅料、主原料等的含碳量与输出的CO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、产品、以及煤气的含量是否平衡；</w:t>
      </w:r>
    </w:p>
    <w:p>
      <w:pPr>
        <w:shd w:val="clea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3）工序能耗：计算工序使用的能源与历史数据的平衡情况,最终以平衡率的形式来衡量数据是否</w:t>
      </w:r>
    </w:p>
    <w:p>
      <w:pPr>
        <w:shd w:val="clear"/>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合理；</w:t>
      </w:r>
    </w:p>
    <w:p>
      <w:pPr>
        <w:shd w:val="clea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4）水平衡：单元过程输入的水量与消耗水量及输出废水量是否平衡(适当考虑蒸发量等因素)。</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）数据与功能单位的关联,即将收集的实物流的输入输出处理为功能单位的输入输出。</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用于Ⅲ型环境声明（EPD）比较时，现场数据和背景数据均应采用相同的数据收集、数据来源和数据格式。</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color w:val="auto"/>
          <w:szCs w:val="21"/>
          <w:highlight w:val="none"/>
        </w:rPr>
        <w:t>5.3.2  计算程序</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收集完后,要根据计算程序对该产品系统中每一单元过程与功能单位求得清单结果。计算应以统一的功能单位作为该系统所有单元过程中物、能流的共同基础，求得系统中所有的输入和输出数据。在此过程中，如发现不合理的数据，应予以替换。</w:t>
      </w:r>
    </w:p>
    <w:p>
      <w:pPr>
        <w:shd w:val="clear"/>
        <w:spacing w:before="156" w:beforeLines="50" w:after="156" w:afterLines="50"/>
        <w:outlineLvl w:val="2"/>
        <w:rPr>
          <w:rFonts w:hint="eastAsia" w:ascii="黑体" w:hAnsi="黑体" w:eastAsia="黑体" w:cs="黑体"/>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3</w:t>
      </w:r>
      <w:r>
        <w:rPr>
          <w:rFonts w:hint="eastAsia" w:ascii="黑体" w:hAnsi="黑体" w:eastAsia="黑体" w:cs="黑体"/>
          <w:bCs/>
          <w:color w:val="auto"/>
          <w:szCs w:val="21"/>
          <w:highlight w:val="none"/>
        </w:rPr>
        <w:t xml:space="preserve">  数据审定</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在数据的收集过程中，应检查数据的有效性。在数据的确认过程中发现明显不合理的数据，应分析原因，予以替换，替换的数据应满足数据质量要求。</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对每种数据类型的数据如发现缺失，对缺失的数据要进行断档处理，代之以合理的“非零”数据、合理的“零”数据或采用同类技术单元过程报送的数据计算出来的数值。</w:t>
      </w:r>
    </w:p>
    <w:p>
      <w:pPr>
        <w:shd w:val="clear"/>
        <w:spacing w:before="156" w:beforeLines="50" w:after="156" w:afterLines="50"/>
        <w:outlineLvl w:val="2"/>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4</w:t>
      </w:r>
      <w:r>
        <w:rPr>
          <w:rFonts w:hint="eastAsia" w:ascii="黑体" w:hAnsi="黑体" w:eastAsia="黑体" w:cs="黑体"/>
          <w:bCs/>
          <w:color w:val="auto"/>
          <w:szCs w:val="21"/>
          <w:highlight w:val="none"/>
        </w:rPr>
        <w:t xml:space="preserve">  数据与单元过程的关联</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生产工序有多种产品，</w:t>
      </w:r>
      <w:r>
        <w:rPr>
          <w:rFonts w:hint="eastAsia" w:ascii="宋体" w:hAnsi="宋体" w:cs="宋体"/>
          <w:color w:val="auto"/>
          <w:szCs w:val="21"/>
          <w:highlight w:val="none"/>
          <w:lang w:val="en-US" w:eastAsia="zh-CN"/>
        </w:rPr>
        <w:t>基础机电继电器产品应以</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个</w:t>
      </w:r>
      <w:r>
        <w:rPr>
          <w:rFonts w:hint="eastAsia" w:ascii="宋体" w:hAnsi="宋体" w:cs="宋体"/>
          <w:color w:val="auto"/>
          <w:szCs w:val="21"/>
          <w:highlight w:val="none"/>
        </w:rPr>
        <w:t>产品</w:t>
      </w:r>
      <w:r>
        <w:rPr>
          <w:rFonts w:hint="eastAsia" w:ascii="宋体" w:hAnsi="宋体" w:cs="宋体"/>
          <w:color w:val="auto"/>
          <w:szCs w:val="21"/>
          <w:highlight w:val="none"/>
          <w:lang w:val="en-US" w:eastAsia="zh-CN"/>
        </w:rPr>
        <w:t>作为基准流</w:t>
      </w:r>
      <w:r>
        <w:rPr>
          <w:rFonts w:hint="eastAsia" w:ascii="宋体" w:hAnsi="宋体" w:cs="宋体"/>
          <w:color w:val="auto"/>
          <w:szCs w:val="21"/>
          <w:highlight w:val="none"/>
        </w:rPr>
        <w:t>，并单元过程的定量输入和输出数据</w:t>
      </w:r>
      <w:r>
        <w:rPr>
          <w:rFonts w:hint="eastAsia" w:ascii="宋体" w:hAnsi="宋体" w:cs="宋体"/>
          <w:color w:val="auto"/>
          <w:szCs w:val="21"/>
          <w:highlight w:val="none"/>
          <w:lang w:val="en-US" w:eastAsia="zh-CN"/>
        </w:rPr>
        <w:t>都应以这条流的关系为依据来进行计算</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基础机电继电器</w:t>
      </w:r>
      <w:r>
        <w:rPr>
          <w:rFonts w:hint="eastAsia" w:ascii="宋体" w:hAnsi="宋体" w:cs="宋体"/>
          <w:color w:val="auto"/>
          <w:szCs w:val="21"/>
          <w:highlight w:val="none"/>
        </w:rPr>
        <w:t>产品生产工序中,不涉及到分配问题。</w:t>
      </w:r>
    </w:p>
    <w:p>
      <w:pPr>
        <w:shd w:val="clear"/>
        <w:spacing w:before="156" w:beforeLines="50" w:after="156" w:afterLines="50"/>
        <w:outlineLvl w:val="2"/>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5</w:t>
      </w:r>
      <w:r>
        <w:rPr>
          <w:rFonts w:hint="eastAsia" w:ascii="黑体" w:hAnsi="黑体" w:eastAsia="黑体" w:cs="黑体"/>
          <w:bCs/>
          <w:color w:val="auto"/>
          <w:szCs w:val="21"/>
          <w:highlight w:val="none"/>
        </w:rPr>
        <w:t xml:space="preserve">  数据与功能单位的关联</w:t>
      </w:r>
    </w:p>
    <w:p>
      <w:pPr>
        <w:shd w:val="clea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计算方法是将各个工序或单元过程的投入产出数据除以产品的产量，即得到功能单位的原材料消耗、能源消耗和环境排放。</w:t>
      </w:r>
    </w:p>
    <w:p>
      <w:pPr>
        <w:shd w:val="clear"/>
        <w:spacing w:before="156" w:beforeLines="50" w:after="156" w:afterLines="50"/>
        <w:outlineLvl w:val="2"/>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5.3.</w:t>
      </w:r>
      <w:r>
        <w:rPr>
          <w:rFonts w:hint="eastAsia" w:ascii="黑体" w:hAnsi="黑体" w:eastAsia="黑体" w:cs="黑体"/>
          <w:bCs/>
          <w:color w:val="auto"/>
          <w:szCs w:val="21"/>
          <w:highlight w:val="none"/>
          <w:lang w:val="en-US" w:eastAsia="zh-CN"/>
        </w:rPr>
        <w:t>6</w:t>
      </w:r>
      <w:r>
        <w:rPr>
          <w:rFonts w:hint="eastAsia" w:ascii="黑体" w:hAnsi="黑体" w:eastAsia="黑体" w:cs="黑体"/>
          <w:bCs/>
          <w:color w:val="auto"/>
          <w:szCs w:val="21"/>
          <w:highlight w:val="none"/>
        </w:rPr>
        <w:t xml:space="preserve">  数据合并</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仅当数据类型是设计等价物质并具有类似的环境影响时才允许进行数据合并。同一工序的不同生产设备，若其生产技术水平相当,输入输出种类基本相同,则可采取数据合并。</w:t>
      </w:r>
    </w:p>
    <w:p>
      <w:pPr>
        <w:shd w:val="clear"/>
        <w:spacing w:before="156" w:beforeLines="50" w:after="156" w:afterLines="50"/>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5.4  基础机电继电器环境影响类型选择</w:t>
      </w:r>
    </w:p>
    <w:p>
      <w:pPr>
        <w:shd w:val="clea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本标准建议完整包括以下4类环境影响类型</w:t>
      </w:r>
      <w:r>
        <w:rPr>
          <w:rFonts w:hint="eastAsia" w:ascii="宋体" w:hAnsi="宋体" w:cs="宋体"/>
          <w:color w:val="auto"/>
          <w:szCs w:val="21"/>
          <w:highlight w:val="none"/>
          <w:lang w:eastAsia="zh-CN"/>
        </w:rPr>
        <w:t>：</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人体毒性</w:t>
      </w:r>
      <w:r>
        <w:rPr>
          <w:rFonts w:hint="eastAsia" w:ascii="宋体" w:hAnsi="宋体" w:cs="宋体"/>
          <w:color w:val="auto"/>
          <w:szCs w:val="21"/>
          <w:highlight w:val="none"/>
        </w:rPr>
        <w:t>;</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b)全球暖化;</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矿石资源消耗</w:t>
      </w:r>
      <w:r>
        <w:rPr>
          <w:rFonts w:hint="eastAsia" w:ascii="宋体" w:hAnsi="宋体" w:cs="宋体"/>
          <w:color w:val="auto"/>
          <w:szCs w:val="21"/>
          <w:highlight w:val="none"/>
        </w:rPr>
        <w:t>;</w:t>
      </w:r>
    </w:p>
    <w:p>
      <w:pPr>
        <w:shd w:val="clear"/>
        <w:ind w:firstLine="420" w:firstLineChars="200"/>
        <w:rPr>
          <w:rFonts w:ascii="宋体" w:hAnsi="宋体" w:cs="宋体"/>
          <w:color w:val="auto"/>
          <w:szCs w:val="21"/>
          <w:highlight w:val="none"/>
        </w:rPr>
      </w:pPr>
      <w:r>
        <w:rPr>
          <w:rFonts w:hint="eastAsia" w:ascii="宋体" w:hAnsi="宋体" w:cs="宋体"/>
          <w:color w:val="auto"/>
          <w:szCs w:val="21"/>
          <w:highlight w:val="none"/>
        </w:rPr>
        <w:t>d)</w:t>
      </w:r>
      <w:r>
        <w:rPr>
          <w:rFonts w:hint="eastAsia" w:ascii="宋体" w:hAnsi="宋体" w:cs="宋体"/>
          <w:color w:val="auto"/>
          <w:szCs w:val="21"/>
          <w:highlight w:val="none"/>
          <w:lang w:val="en-US" w:eastAsia="zh-CN"/>
        </w:rPr>
        <w:t>化石资源消耗</w:t>
      </w:r>
      <w:r>
        <w:rPr>
          <w:rFonts w:hint="eastAsia" w:ascii="宋体" w:hAnsi="宋体" w:cs="宋体"/>
          <w:color w:val="auto"/>
          <w:szCs w:val="21"/>
          <w:highlight w:val="none"/>
        </w:rPr>
        <w:t>。</w:t>
      </w:r>
    </w:p>
    <w:p>
      <w:pPr>
        <w:shd w:val="clear"/>
        <w:jc w:val="center"/>
        <w:outlineLvl w:val="1"/>
        <w:rPr>
          <w:rFonts w:hint="eastAsia" w:ascii="黑体" w:hAnsi="黑体" w:eastAsia="黑体" w:cs="黑体"/>
          <w:bCs/>
          <w:color w:val="auto"/>
          <w:szCs w:val="21"/>
          <w:highlight w:val="none"/>
          <w:lang w:eastAsia="zh-CN"/>
        </w:rPr>
      </w:pPr>
      <w:r>
        <w:rPr>
          <w:rFonts w:hint="eastAsia" w:ascii="黑体" w:hAnsi="黑体" w:eastAsia="黑体" w:cs="黑体"/>
          <w:bCs/>
          <w:color w:val="auto"/>
          <w:szCs w:val="21"/>
          <w:highlight w:val="none"/>
        </w:rPr>
        <w:t>表</w:t>
      </w:r>
      <w:r>
        <w:rPr>
          <w:rFonts w:hint="eastAsia" w:ascii="黑体" w:hAnsi="黑体" w:eastAsia="黑体" w:cs="黑体"/>
          <w:bCs/>
          <w:color w:val="auto"/>
          <w:szCs w:val="21"/>
          <w:highlight w:val="none"/>
          <w:lang w:val="en-US" w:eastAsia="zh-CN"/>
        </w:rPr>
        <w:t xml:space="preserve">3 </w:t>
      </w:r>
      <w:r>
        <w:rPr>
          <w:rFonts w:hint="eastAsia" w:ascii="黑体" w:hAnsi="黑体" w:eastAsia="黑体" w:cs="黑体"/>
          <w:bCs/>
          <w:color w:val="auto"/>
          <w:szCs w:val="21"/>
          <w:highlight w:val="none"/>
        </w:rPr>
        <w:t>环境影响类型及特征化模型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5496"/>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496" w:type="dxa"/>
            <w:shd w:val="clear" w:color="auto" w:fill="auto"/>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环境影响类型</w:t>
            </w:r>
          </w:p>
        </w:tc>
        <w:tc>
          <w:tcPr>
            <w:tcW w:w="3321" w:type="dxa"/>
            <w:shd w:val="clear" w:color="auto" w:fill="auto"/>
          </w:tcPr>
          <w:p>
            <w:pPr>
              <w:shd w:val="clear"/>
              <w:jc w:val="center"/>
              <w:rPr>
                <w:rFonts w:hint="eastAsia" w:ascii="宋体" w:hAnsi="宋体" w:eastAsia="宋体" w:cs="宋体"/>
                <w:color w:val="auto"/>
                <w:szCs w:val="21"/>
                <w:highlight w:val="none"/>
                <w:lang w:eastAsia="zh-CN"/>
              </w:rPr>
            </w:pPr>
            <w:r>
              <w:rPr>
                <w:rFonts w:hint="eastAsia"/>
                <w:color w:val="auto"/>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496" w:type="dxa"/>
            <w:shd w:val="clear" w:color="auto" w:fill="auto"/>
            <w:vAlign w:val="top"/>
          </w:tcPr>
          <w:p>
            <w:pPr>
              <w:shd w:val="clea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人体毒性</w:t>
            </w:r>
          </w:p>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Human toxicity</w:t>
            </w:r>
            <w:r>
              <w:rPr>
                <w:rFonts w:hint="eastAsia" w:ascii="宋体" w:hAnsi="宋体" w:cs="宋体"/>
                <w:color w:val="auto"/>
                <w:szCs w:val="21"/>
                <w:highlight w:val="none"/>
              </w:rPr>
              <w:t xml:space="preserve"> potential）</w:t>
            </w:r>
          </w:p>
        </w:tc>
        <w:tc>
          <w:tcPr>
            <w:tcW w:w="3321"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Kg</w:t>
            </w:r>
            <w:r>
              <w:rPr>
                <w:rFonts w:hint="eastAsia" w:ascii="宋体" w:hAnsi="宋体" w:cs="宋体"/>
                <w:color w:val="auto"/>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shd w:val="clear" w:fill="auto"/>
              </w:rPr>
              <w:t>1,4-DB</w:t>
            </w:r>
            <w:r>
              <w:rPr>
                <w:rFonts w:hint="eastAsia" w:ascii="宋体" w:hAnsi="宋体" w:cs="宋体"/>
                <w:i w:val="0"/>
                <w:iCs w:val="0"/>
                <w:caps w:val="0"/>
                <w:color w:val="auto"/>
                <w:spacing w:val="0"/>
                <w:sz w:val="21"/>
                <w:szCs w:val="21"/>
                <w:highlight w:val="none"/>
                <w:shd w:val="clear" w:fill="auto"/>
                <w:lang w:val="en-US" w:eastAsia="zh-CN"/>
              </w:rPr>
              <w:t xml:space="preserve"> </w:t>
            </w:r>
            <w:r>
              <w:rPr>
                <w:rFonts w:hint="eastAsia" w:ascii="宋体" w:hAnsi="宋体" w:cs="宋体"/>
                <w:color w:val="auto"/>
                <w:szCs w:val="21"/>
                <w:highlight w:val="none"/>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496"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全球暖化</w:t>
            </w:r>
          </w:p>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（global warming potential）</w:t>
            </w:r>
          </w:p>
        </w:tc>
        <w:tc>
          <w:tcPr>
            <w:tcW w:w="3321"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kg</w:t>
            </w:r>
            <w:r>
              <w:rPr>
                <w:rFonts w:hint="eastAsia" w:ascii="宋体" w:hAnsi="宋体" w:cs="宋体"/>
                <w:color w:val="auto"/>
                <w:szCs w:val="21"/>
                <w:highlight w:val="none"/>
              </w:rPr>
              <w:t xml:space="preserve"> CO</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 xml:space="preserve"> 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496" w:type="dxa"/>
            <w:shd w:val="clear" w:color="auto" w:fill="auto"/>
            <w:vAlign w:val="top"/>
          </w:tcPr>
          <w:p>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矿石资源消耗</w:t>
            </w:r>
          </w:p>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mineral resources depletion</w:t>
            </w:r>
            <w:r>
              <w:rPr>
                <w:rFonts w:hint="eastAsia" w:ascii="宋体" w:hAnsi="宋体" w:cs="宋体"/>
                <w:color w:val="auto"/>
                <w:szCs w:val="21"/>
                <w:highlight w:val="none"/>
              </w:rPr>
              <w:t xml:space="preserve"> potential）</w:t>
            </w:r>
          </w:p>
        </w:tc>
        <w:tc>
          <w:tcPr>
            <w:tcW w:w="3321"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kg</w:t>
            </w:r>
            <w:r>
              <w:rPr>
                <w:rFonts w:hint="eastAsia" w:ascii="宋体" w:hAnsi="宋体" w:cs="宋体"/>
                <w:color w:val="auto"/>
                <w:szCs w:val="21"/>
                <w:highlight w:val="none"/>
              </w:rPr>
              <w:t xml:space="preserve"> Sb 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496" w:type="dxa"/>
            <w:shd w:val="clear" w:color="auto" w:fill="auto"/>
            <w:vAlign w:val="top"/>
          </w:tcPr>
          <w:p>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化石资源消耗</w:t>
            </w:r>
          </w:p>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fossil resources depletion</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potential</w:t>
            </w:r>
            <w:r>
              <w:rPr>
                <w:rFonts w:hint="eastAsia" w:ascii="宋体" w:hAnsi="宋体" w:cs="宋体"/>
                <w:color w:val="auto"/>
                <w:szCs w:val="21"/>
                <w:highlight w:val="none"/>
              </w:rPr>
              <w:t>）</w:t>
            </w:r>
          </w:p>
        </w:tc>
        <w:tc>
          <w:tcPr>
            <w:tcW w:w="3321" w:type="dxa"/>
            <w:shd w:val="clear" w:color="auto" w:fill="auto"/>
            <w:vAlign w:val="top"/>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MJ</w:t>
            </w:r>
          </w:p>
        </w:tc>
      </w:tr>
    </w:tbl>
    <w:p>
      <w:pPr>
        <w:shd w:val="clear"/>
        <w:rPr>
          <w:rFonts w:hint="eastAsia" w:ascii="黑体" w:hAnsi="黑体" w:eastAsia="黑体" w:cs="黑体"/>
          <w:color w:val="auto"/>
          <w:sz w:val="24"/>
          <w:szCs w:val="24"/>
          <w:highlight w:val="none"/>
          <w:lang w:val="en-US" w:eastAsia="zh-CN"/>
        </w:rPr>
      </w:pPr>
    </w:p>
    <w:p>
      <w:pPr>
        <w:pStyle w:val="9"/>
        <w:shd w:val="clear"/>
        <w:spacing w:before="312" w:after="312"/>
        <w:rPr>
          <w:rFonts w:hint="eastAsia"/>
          <w:color w:val="auto"/>
          <w:szCs w:val="21"/>
          <w:highlight w:val="none"/>
        </w:rPr>
      </w:pPr>
      <w:r>
        <w:rPr>
          <w:rFonts w:hint="eastAsia"/>
          <w:color w:val="auto"/>
          <w:szCs w:val="21"/>
          <w:highlight w:val="none"/>
        </w:rPr>
        <w:t>附加的环境信息</w:t>
      </w:r>
    </w:p>
    <w:p>
      <w:pPr>
        <w:shd w:val="clea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除上述报告的指标外,其他相关的重要环境信息,如采用的清洁生产工艺、节能减排技术、产品环境特性、企业环境管理等可以在附加环境信息中进行描述。</w:t>
      </w:r>
      <w:r>
        <w:rPr>
          <w:rFonts w:hint="eastAsia" w:ascii="宋体" w:hAnsi="宋体" w:cs="宋体"/>
          <w:color w:val="auto"/>
          <w:szCs w:val="21"/>
          <w:highlight w:val="none"/>
          <w:lang w:val="en-US" w:eastAsia="zh-CN"/>
        </w:rPr>
        <w:t>基础机电继电器产品的附加环境信息主要包括：</w:t>
      </w:r>
    </w:p>
    <w:p>
      <w:pPr>
        <w:shd w:val="clea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a）原料的回收利用率</w:t>
      </w:r>
      <w:r>
        <w:rPr>
          <w:rFonts w:hint="eastAsia" w:ascii="宋体" w:hAnsi="宋体" w:cs="宋体"/>
          <w:color w:val="auto"/>
          <w:szCs w:val="21"/>
          <w:highlight w:val="none"/>
          <w:lang w:eastAsia="zh-CN"/>
        </w:rPr>
        <w:t>；</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b）产品成分清单：主要物质名称及含量，尤其指出有毒有害物质，如苯、甲苯、二甲苯等VOC，重金属元素等;</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c）企业获得的环境管理体系认证，开展的清洁生产审核、能源审计等。</w:t>
      </w:r>
    </w:p>
    <w:p>
      <w:pPr>
        <w:shd w:val="clea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d）企业的清洁能源使用比例，能源使用效率等；</w:t>
      </w:r>
    </w:p>
    <w:p>
      <w:pPr>
        <w:shd w:val="clea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e）rohs检测报告；</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f）电子废弃物回收处置情况。</w:t>
      </w:r>
    </w:p>
    <w:p>
      <w:pPr>
        <w:pStyle w:val="9"/>
        <w:shd w:val="clear"/>
        <w:spacing w:before="312" w:after="312"/>
        <w:rPr>
          <w:rFonts w:hint="eastAsia"/>
          <w:color w:val="auto"/>
          <w:szCs w:val="21"/>
          <w:highlight w:val="none"/>
        </w:rPr>
      </w:pPr>
      <w:r>
        <w:rPr>
          <w:rFonts w:hint="eastAsia"/>
          <w:color w:val="auto"/>
          <w:szCs w:val="21"/>
          <w:highlight w:val="none"/>
        </w:rPr>
        <w:t>可比性</w:t>
      </w:r>
    </w:p>
    <w:p>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当根据本标准制作</w:t>
      </w:r>
      <w:r>
        <w:rPr>
          <w:rFonts w:hint="eastAsia" w:ascii="黑体" w:hAnsi="黑体" w:eastAsia="黑体" w:cs="黑体"/>
          <w:color w:val="auto"/>
          <w:szCs w:val="21"/>
          <w:highlight w:val="none"/>
        </w:rPr>
        <w:t>Ⅲ</w:t>
      </w:r>
      <w:r>
        <w:rPr>
          <w:rFonts w:hint="eastAsia" w:ascii="宋体" w:hAnsi="宋体" w:cs="宋体"/>
          <w:color w:val="auto"/>
          <w:szCs w:val="21"/>
          <w:highlight w:val="none"/>
        </w:rPr>
        <w:t>型环境声明(EPD)报告用于比较时,</w:t>
      </w:r>
      <w:r>
        <w:rPr>
          <w:rFonts w:hint="eastAsia" w:ascii="宋体" w:hAnsi="宋体" w:cs="宋体"/>
          <w:color w:val="auto"/>
          <w:szCs w:val="21"/>
          <w:highlight w:val="none"/>
          <w:lang w:val="en-US" w:eastAsia="zh-CN"/>
        </w:rPr>
        <w:t>产品需具有相同的功能，使用相同的评价方法</w:t>
      </w:r>
      <w:r>
        <w:rPr>
          <w:rFonts w:hint="eastAsia" w:ascii="宋体" w:hAnsi="宋体" w:cs="宋体"/>
          <w:color w:val="auto"/>
          <w:szCs w:val="21"/>
          <w:highlight w:val="none"/>
        </w:rPr>
        <w:t>。</w:t>
      </w:r>
    </w:p>
    <w:p>
      <w:pPr>
        <w:pStyle w:val="9"/>
        <w:shd w:val="clear"/>
        <w:spacing w:before="312" w:after="312"/>
        <w:rPr>
          <w:rFonts w:hint="eastAsia"/>
          <w:color w:val="auto"/>
          <w:szCs w:val="21"/>
          <w:highlight w:val="none"/>
        </w:rPr>
      </w:pPr>
      <w:r>
        <w:rPr>
          <w:rFonts w:hint="eastAsia"/>
          <w:color w:val="auto"/>
          <w:szCs w:val="21"/>
          <w:highlight w:val="none"/>
        </w:rPr>
        <w:t>支持</w:t>
      </w:r>
      <w:r>
        <w:rPr>
          <w:rFonts w:hint="eastAsia" w:ascii="宋体" w:hAnsi="宋体" w:cs="宋体"/>
          <w:color w:val="auto"/>
          <w:szCs w:val="21"/>
          <w:highlight w:val="none"/>
        </w:rPr>
        <w:t>Ⅲ</w:t>
      </w:r>
      <w:r>
        <w:rPr>
          <w:rFonts w:hint="eastAsia"/>
          <w:color w:val="auto"/>
          <w:szCs w:val="21"/>
          <w:highlight w:val="none"/>
        </w:rPr>
        <w:t>型环境声明(EPD)报告的要素</w:t>
      </w:r>
    </w:p>
    <w:p>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依据本标准制作的Ⅲ型环境声明(EPD)报告包括以下内容:</w:t>
      </w:r>
    </w:p>
    <w:p>
      <w:pPr>
        <w:numPr>
          <w:ilvl w:val="0"/>
          <w:numId w:val="5"/>
        </w:numPr>
        <w:shd w:val="clear"/>
        <w:spacing w:before="0" w:beforeLines="0" w:after="0" w:afterLines="0"/>
        <w:ind w:firstLine="420" w:firstLineChars="200"/>
        <w:outlineLvl w:val="1"/>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公司/组织的描述:</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联系人、地址、电话、传真、e-mail；</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生产过程或环境工作的特别信息(如:EMS)。</w:t>
      </w:r>
    </w:p>
    <w:p>
      <w:pPr>
        <w:shd w:val="clear"/>
        <w:spacing w:before="0" w:beforeLines="0" w:after="0" w:afterLines="0"/>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 xml:space="preserve">  产品或服务的描述:</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产品名称（如：品牌、型号等）；</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产品照片或图解；</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产品工艺流程图；</w:t>
      </w:r>
    </w:p>
    <w:p>
      <w:pPr>
        <w:shd w:val="clear"/>
        <w:spacing w:before="0" w:beforeLines="0" w:after="0" w:afterLines="0"/>
        <w:ind w:firstLine="840" w:firstLineChars="400"/>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尺寸大小、重量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产品性能（产品规格书说明书）</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产品类型</w:t>
      </w:r>
      <w:r>
        <w:rPr>
          <w:rFonts w:hint="eastAsia" w:ascii="宋体" w:hAnsi="宋体" w:cs="宋体"/>
          <w:color w:val="auto"/>
          <w:szCs w:val="21"/>
          <w:highlight w:val="none"/>
          <w:lang w:eastAsia="zh-CN"/>
        </w:rPr>
        <w:t>。</w:t>
      </w:r>
    </w:p>
    <w:p>
      <w:pPr>
        <w:shd w:val="clear"/>
        <w:spacing w:before="0" w:beforeLines="0" w:after="0" w:afterLines="0"/>
        <w:ind w:firstLine="420" w:firstLineChars="200"/>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 xml:space="preserve">  报告的有效性（有效期）</w:t>
      </w:r>
      <w:r>
        <w:rPr>
          <w:rFonts w:hint="eastAsia" w:ascii="宋体" w:hAnsi="宋体" w:eastAsia="宋体" w:cs="宋体"/>
          <w:color w:val="auto"/>
          <w:szCs w:val="21"/>
          <w:highlight w:val="none"/>
          <w:lang w:eastAsia="zh-CN"/>
        </w:rPr>
        <w:t>。</w:t>
      </w:r>
    </w:p>
    <w:p>
      <w:pPr>
        <w:shd w:val="clear"/>
        <w:spacing w:before="0" w:beforeLines="0" w:after="0" w:afterLines="0"/>
        <w:ind w:firstLine="420" w:firstLineChars="200"/>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d）</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产品的可追溯性（注册号）</w:t>
      </w:r>
      <w:r>
        <w:rPr>
          <w:rFonts w:hint="eastAsia" w:ascii="宋体" w:hAnsi="宋体" w:eastAsia="宋体" w:cs="宋体"/>
          <w:color w:val="auto"/>
          <w:szCs w:val="21"/>
          <w:highlight w:val="none"/>
          <w:lang w:eastAsia="zh-CN"/>
        </w:rPr>
        <w:t>。</w:t>
      </w:r>
    </w:p>
    <w:p>
      <w:pPr>
        <w:shd w:val="clear"/>
        <w:spacing w:before="0" w:beforeLines="0" w:after="0" w:afterLines="0"/>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rPr>
        <w:t xml:space="preserve">  生命周期评价信息：</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功能单位；</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系统边界；</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数据的描述；</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输入和输出的选择准则；</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数据质量；</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数据收集；</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计算程序；</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环境影响；</w:t>
      </w:r>
    </w:p>
    <w:p>
      <w:pPr>
        <w:shd w:val="clear"/>
        <w:spacing w:before="0" w:beforeLines="0" w:after="0" w:afterLines="0"/>
        <w:ind w:firstLine="840" w:firstLineChars="4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附加环境信息。</w:t>
      </w:r>
    </w:p>
    <w:p>
      <w:pPr>
        <w:shd w:val="clear"/>
        <w:spacing w:before="0" w:beforeLines="0" w:after="0" w:afterLines="0"/>
        <w:ind w:firstLine="420" w:firstLineChars="200"/>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f）</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第三方验证</w:t>
      </w:r>
      <w:r>
        <w:rPr>
          <w:rFonts w:hint="eastAsia" w:ascii="宋体" w:hAnsi="宋体" w:eastAsia="宋体" w:cs="宋体"/>
          <w:color w:val="auto"/>
          <w:szCs w:val="21"/>
          <w:highlight w:val="none"/>
        </w:rPr>
        <w:t>机构的信息</w:t>
      </w:r>
      <w:r>
        <w:rPr>
          <w:rFonts w:hint="eastAsia" w:ascii="宋体" w:hAnsi="宋体" w:cs="宋体"/>
          <w:color w:val="auto"/>
          <w:highlight w:val="none"/>
          <w:lang w:eastAsia="zh-CN"/>
        </w:rPr>
        <w:t>。</w:t>
      </w:r>
    </w:p>
    <w:p>
      <w:pPr>
        <w:shd w:val="clear"/>
        <w:rPr>
          <w:rFonts w:hint="eastAsia" w:ascii="黑体" w:hAnsi="黑体" w:eastAsia="黑体" w:cs="黑体"/>
          <w:color w:val="auto"/>
          <w:szCs w:val="21"/>
          <w:highlight w:val="none"/>
        </w:rPr>
      </w:pPr>
    </w:p>
    <w:p>
      <w:pPr>
        <w:pStyle w:val="9"/>
        <w:shd w:val="clear"/>
        <w:spacing w:before="312" w:after="312"/>
        <w:rPr>
          <w:rFonts w:hint="eastAsia"/>
          <w:color w:val="auto"/>
          <w:szCs w:val="21"/>
          <w:highlight w:val="none"/>
        </w:rPr>
      </w:pPr>
      <w:r>
        <w:rPr>
          <w:rFonts w:hint="eastAsia"/>
          <w:color w:val="auto"/>
          <w:szCs w:val="21"/>
          <w:highlight w:val="none"/>
        </w:rPr>
        <w:t>验证</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9.1 总则</w:t>
      </w:r>
    </w:p>
    <w:p>
      <w:pPr>
        <w:shd w:val="clear"/>
        <w:ind w:firstLine="480"/>
        <w:rPr>
          <w:rFonts w:hint="eastAsia" w:ascii="宋体" w:hAnsi="宋体" w:cs="宋体"/>
          <w:color w:val="auto"/>
          <w:szCs w:val="21"/>
          <w:highlight w:val="none"/>
        </w:rPr>
      </w:pPr>
      <w:r>
        <w:rPr>
          <w:rFonts w:hint="eastAsia" w:ascii="宋体" w:hAnsi="宋体" w:cs="宋体"/>
          <w:color w:val="auto"/>
          <w:szCs w:val="21"/>
          <w:highlight w:val="none"/>
        </w:rPr>
        <w:t>提出Ⅲ型环境声明（EPD）的组织应确保数据得到第三方独立验证，验证信息应包含生产企业和第三方验证机构的相关信息。</w:t>
      </w:r>
    </w:p>
    <w:p>
      <w:pPr>
        <w:shd w:val="clear"/>
        <w:ind w:firstLine="480"/>
        <w:rPr>
          <w:rFonts w:hint="eastAsia" w:ascii="宋体" w:hAnsi="宋体" w:cs="宋体"/>
          <w:color w:val="auto"/>
          <w:szCs w:val="21"/>
          <w:highlight w:val="none"/>
        </w:rPr>
      </w:pPr>
    </w:p>
    <w:p>
      <w:pPr>
        <w:shd w:val="clear"/>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公司</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组织的描述</w:t>
      </w:r>
    </w:p>
    <w:p>
      <w:pPr>
        <w:shd w:val="clear"/>
        <w:rPr>
          <w:rFonts w:hint="eastAsia" w:ascii="宋体" w:hAnsi="宋体" w:cs="宋体"/>
          <w:color w:val="auto"/>
          <w:szCs w:val="21"/>
          <w:highlight w:val="none"/>
        </w:rPr>
      </w:pPr>
      <w:r>
        <w:rPr>
          <w:rFonts w:hint="eastAsia" w:ascii="黑体" w:hAnsi="黑体" w:eastAsia="黑体" w:cs="黑体"/>
          <w:color w:val="auto"/>
          <w:szCs w:val="21"/>
          <w:highlight w:val="none"/>
        </w:rPr>
        <w:t xml:space="preserve">    </w:t>
      </w:r>
      <w:r>
        <w:rPr>
          <w:rFonts w:hint="eastAsia" w:ascii="宋体" w:hAnsi="宋体" w:cs="宋体"/>
          <w:color w:val="auto"/>
          <w:szCs w:val="21"/>
          <w:highlight w:val="none"/>
        </w:rPr>
        <w:t>公司</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组织的名称、生产地点、联系人、联系方式等信息，与生产过程相关的资讯，以及与环境工作相关的特别信息（如环境管理体系认证），也可以包括企业/组织想要突出的特定主题，例如产品符合某些环境准则，或与环境安全与卫生相关的资讯。</w:t>
      </w:r>
    </w:p>
    <w:p>
      <w:pPr>
        <w:shd w:val="clear"/>
        <w:rPr>
          <w:rFonts w:hint="eastAsia" w:ascii="黑体" w:hAnsi="黑体" w:eastAsia="黑体" w:cs="黑体"/>
          <w:color w:val="auto"/>
          <w:szCs w:val="21"/>
          <w:highlight w:val="none"/>
        </w:rPr>
      </w:pPr>
    </w:p>
    <w:p>
      <w:pPr>
        <w:shd w:val="clear"/>
        <w:rPr>
          <w:rFonts w:hint="eastAsia" w:ascii="黑体" w:hAnsi="黑体" w:eastAsia="黑体" w:cs="黑体"/>
          <w:color w:val="auto"/>
          <w:szCs w:val="21"/>
          <w:highlight w:val="none"/>
        </w:rPr>
      </w:pPr>
      <w:r>
        <w:rPr>
          <w:rFonts w:hint="eastAsia" w:ascii="黑体" w:hAnsi="黑体" w:eastAsia="黑体" w:cs="黑体"/>
          <w:color w:val="auto"/>
          <w:szCs w:val="21"/>
          <w:highlight w:val="none"/>
        </w:rPr>
        <w:t>9.</w:t>
      </w: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 第三方验证机构的描述</w:t>
      </w:r>
    </w:p>
    <w:p>
      <w:pPr>
        <w:shd w:val="clear"/>
        <w:rPr>
          <w:rFonts w:hint="eastAsia" w:ascii="黑体" w:hAnsi="黑体" w:eastAsia="黑体" w:cs="黑体"/>
          <w:color w:val="auto"/>
          <w:szCs w:val="21"/>
          <w:highlight w:val="none"/>
        </w:rPr>
      </w:pPr>
    </w:p>
    <w:p>
      <w:pPr>
        <w:shd w:val="clear"/>
        <w:rPr>
          <w:rFonts w:hint="eastAsia" w:ascii="宋体" w:hAnsi="宋体" w:cs="宋体"/>
          <w:color w:val="auto"/>
          <w:szCs w:val="21"/>
          <w:highlight w:val="none"/>
        </w:rPr>
        <w:sectPr>
          <w:pgSz w:w="11906" w:h="16838"/>
          <w:pgMar w:top="1440" w:right="1080" w:bottom="1440" w:left="1080" w:header="851" w:footer="992" w:gutter="0"/>
          <w:cols w:space="720" w:num="1"/>
          <w:docGrid w:type="lines" w:linePitch="312" w:charSpace="0"/>
        </w:sectPr>
      </w:pPr>
      <w:r>
        <w:rPr>
          <w:rFonts w:hint="eastAsia" w:ascii="黑体" w:hAnsi="黑体" w:eastAsia="黑体" w:cs="黑体"/>
          <w:color w:val="auto"/>
          <w:szCs w:val="21"/>
          <w:highlight w:val="none"/>
        </w:rPr>
        <w:t xml:space="preserve">   </w:t>
      </w:r>
      <w:r>
        <w:rPr>
          <w:rFonts w:hint="eastAsia" w:ascii="宋体" w:hAnsi="宋体" w:cs="宋体"/>
          <w:color w:val="auto"/>
          <w:szCs w:val="21"/>
          <w:highlight w:val="none"/>
        </w:rPr>
        <w:t xml:space="preserve"> 第三方验证机构的名称、地址、联系人、联系方式等信息。同时应提供报告审核员、验证过程所遵循的本标准、验证报告有效期等相关信息。</w:t>
      </w:r>
    </w:p>
    <w:p>
      <w:pPr>
        <w:shd w:val="clea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附录A</w:t>
      </w:r>
    </w:p>
    <w:p>
      <w:pPr>
        <w:shd w:val="clea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w:t>
      </w:r>
      <w:r>
        <w:rPr>
          <w:rFonts w:hint="eastAsia" w:ascii="黑体" w:hAnsi="黑体" w:eastAsia="黑体" w:cs="黑体"/>
          <w:color w:val="auto"/>
          <w:sz w:val="21"/>
          <w:szCs w:val="21"/>
          <w:highlight w:val="none"/>
          <w:lang w:val="en-US" w:eastAsia="zh-CN"/>
        </w:rPr>
        <w:t>资料</w:t>
      </w:r>
      <w:r>
        <w:rPr>
          <w:rFonts w:hint="eastAsia" w:ascii="黑体" w:hAnsi="黑体" w:eastAsia="黑体" w:cs="黑体"/>
          <w:color w:val="auto"/>
          <w:sz w:val="21"/>
          <w:szCs w:val="21"/>
          <w:highlight w:val="none"/>
          <w:lang w:eastAsia="zh-CN"/>
        </w:rPr>
        <w:t>性</w:t>
      </w:r>
      <w:r>
        <w:rPr>
          <w:rFonts w:hint="eastAsia" w:ascii="黑体" w:hAnsi="黑体" w:eastAsia="黑体" w:cs="黑体"/>
          <w:color w:val="auto"/>
          <w:sz w:val="21"/>
          <w:szCs w:val="21"/>
          <w:highlight w:val="none"/>
        </w:rPr>
        <w:t>）</w:t>
      </w:r>
    </w:p>
    <w:p>
      <w:pPr>
        <w:shd w:val="clear"/>
        <w:jc w:val="center"/>
        <w:rPr>
          <w:rFonts w:hint="eastAsia" w:ascii="黑体" w:hAnsi="黑体" w:eastAsia="黑体" w:cs="黑体"/>
          <w:color w:val="auto"/>
          <w:szCs w:val="21"/>
          <w:highlight w:val="none"/>
        </w:rPr>
      </w:pPr>
      <w:r>
        <w:rPr>
          <w:rFonts w:hint="eastAsia" w:ascii="黑体" w:hAnsi="黑体" w:eastAsia="黑体" w:cs="黑体"/>
          <w:color w:val="auto"/>
          <w:sz w:val="21"/>
          <w:szCs w:val="21"/>
          <w:highlight w:val="none"/>
        </w:rPr>
        <w:t>数据收集示例</w:t>
      </w:r>
    </w:p>
    <w:p>
      <w:pPr>
        <w:shd w:val="clear"/>
        <w:rPr>
          <w:rFonts w:hint="eastAsia" w:ascii="黑体" w:hAnsi="黑体" w:eastAsia="黑体" w:cs="黑体"/>
          <w:color w:val="auto"/>
          <w:szCs w:val="21"/>
          <w:highlight w:val="none"/>
        </w:rPr>
      </w:pPr>
      <w:r>
        <w:rPr>
          <w:rFonts w:hint="eastAsia" w:ascii="黑体" w:hAnsi="黑体" w:eastAsia="黑体" w:cs="黑体"/>
          <w:color w:val="auto"/>
          <w:szCs w:val="21"/>
          <w:highlight w:val="none"/>
        </w:rPr>
        <w:t>A.1 现场数据收集表见表A.1。</w:t>
      </w:r>
    </w:p>
    <w:p>
      <w:pPr>
        <w:shd w:val="clear"/>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Cs w:val="21"/>
          <w:highlight w:val="none"/>
        </w:rPr>
        <w:t>表A.1 现场数据收集表</w:t>
      </w:r>
    </w:p>
    <w:tbl>
      <w:tblPr>
        <w:tblStyle w:val="4"/>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603"/>
        <w:gridCol w:w="545"/>
        <w:gridCol w:w="858"/>
        <w:gridCol w:w="22"/>
        <w:gridCol w:w="978"/>
        <w:gridCol w:w="487"/>
        <w:gridCol w:w="1400"/>
        <w:gridCol w:w="518"/>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制表人：</w:t>
            </w:r>
          </w:p>
        </w:tc>
        <w:tc>
          <w:tcPr>
            <w:tcW w:w="2148" w:type="dxa"/>
            <w:gridSpan w:val="2"/>
            <w:shd w:val="clear" w:color="auto" w:fill="auto"/>
            <w:vAlign w:val="center"/>
          </w:tcPr>
          <w:p>
            <w:pPr>
              <w:shd w:val="clear"/>
              <w:jc w:val="center"/>
              <w:rPr>
                <w:rFonts w:ascii="黑体" w:hAnsi="黑体" w:eastAsia="黑体" w:cs="黑体"/>
                <w:color w:val="auto"/>
                <w:szCs w:val="21"/>
                <w:highlight w:val="none"/>
              </w:rPr>
            </w:pP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制表日期：</w:t>
            </w: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报送地点</w:t>
            </w:r>
          </w:p>
        </w:tc>
        <w:tc>
          <w:tcPr>
            <w:tcW w:w="8015" w:type="dxa"/>
            <w:gridSpan w:val="9"/>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数据时间</w:t>
            </w:r>
          </w:p>
        </w:tc>
        <w:tc>
          <w:tcPr>
            <w:tcW w:w="2148"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起始月</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终止月</w:t>
            </w: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8" w:type="dxa"/>
            <w:gridSpan w:val="10"/>
            <w:shd w:val="clear" w:color="auto" w:fill="auto"/>
            <w:vAlign w:val="center"/>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产品输出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项目</w:t>
            </w:r>
          </w:p>
        </w:tc>
        <w:tc>
          <w:tcPr>
            <w:tcW w:w="2148" w:type="dxa"/>
            <w:gridSpan w:val="2"/>
            <w:shd w:val="clear" w:color="auto" w:fill="auto"/>
            <w:vAlign w:val="center"/>
          </w:tcPr>
          <w:p>
            <w:pPr>
              <w:shd w:val="clea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单位</w:t>
            </w:r>
          </w:p>
        </w:tc>
        <w:tc>
          <w:tcPr>
            <w:tcW w:w="1858" w:type="dxa"/>
            <w:gridSpan w:val="3"/>
            <w:shd w:val="clear" w:color="auto" w:fill="auto"/>
            <w:vAlign w:val="center"/>
          </w:tcPr>
          <w:p>
            <w:pPr>
              <w:shd w:val="clea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数量</w:t>
            </w:r>
          </w:p>
        </w:tc>
        <w:tc>
          <w:tcPr>
            <w:tcW w:w="1887" w:type="dxa"/>
            <w:gridSpan w:val="2"/>
            <w:shd w:val="clear" w:color="auto" w:fill="auto"/>
            <w:vAlign w:val="center"/>
          </w:tcPr>
          <w:p>
            <w:pPr>
              <w:shd w:val="clea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数据来源</w:t>
            </w:r>
          </w:p>
        </w:tc>
        <w:tc>
          <w:tcPr>
            <w:tcW w:w="2122" w:type="dxa"/>
            <w:gridSpan w:val="2"/>
            <w:shd w:val="clear" w:color="auto" w:fill="auto"/>
            <w:vAlign w:val="center"/>
          </w:tcPr>
          <w:p>
            <w:pPr>
              <w:shd w:val="clear"/>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szCs w:val="21"/>
                <w:highlight w:val="none"/>
              </w:rPr>
              <w:t>运输方式/距离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numPr>
                <w:ilvl w:val="0"/>
                <w:numId w:val="0"/>
              </w:numPr>
              <w:shd w:val="clear"/>
              <w:ind w:left="0" w:leftChars="0" w:firstLine="0" w:firstLineChars="0"/>
              <w:jc w:val="center"/>
              <w:rPr>
                <w:rFonts w:ascii="黑体" w:hAnsi="黑体" w:eastAsia="黑体" w:cs="黑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基础机电继电器</w:t>
            </w:r>
          </w:p>
        </w:tc>
        <w:tc>
          <w:tcPr>
            <w:tcW w:w="2148" w:type="dxa"/>
            <w:gridSpan w:val="2"/>
            <w:shd w:val="clear" w:color="auto" w:fill="auto"/>
            <w:vAlign w:val="center"/>
          </w:tcPr>
          <w:p>
            <w:pPr>
              <w:numPr>
                <w:ilvl w:val="0"/>
                <w:numId w:val="0"/>
              </w:numPr>
              <w:shd w:val="clear"/>
              <w:ind w:left="0" w:leftChars="0" w:firstLine="0" w:firstLineChars="0"/>
              <w:jc w:val="center"/>
              <w:rPr>
                <w:rFonts w:hint="eastAsia" w:ascii="黑体" w:hAnsi="黑体" w:eastAsia="黑体" w:cs="黑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个</w:t>
            </w:r>
          </w:p>
        </w:tc>
        <w:tc>
          <w:tcPr>
            <w:tcW w:w="1858" w:type="dxa"/>
            <w:gridSpan w:val="3"/>
            <w:shd w:val="clear" w:color="auto" w:fill="auto"/>
            <w:vAlign w:val="center"/>
          </w:tcPr>
          <w:p>
            <w:pPr>
              <w:numPr>
                <w:ilvl w:val="0"/>
                <w:numId w:val="0"/>
              </w:numPr>
              <w:shd w:val="clear"/>
              <w:ind w:left="0" w:leftChars="0" w:firstLine="0" w:firstLineChars="0"/>
              <w:jc w:val="center"/>
              <w:rPr>
                <w:rFonts w:hint="eastAsia" w:ascii="黑体" w:hAnsi="黑体" w:eastAsia="黑体" w:cs="黑体"/>
                <w:color w:val="auto"/>
                <w:kern w:val="2"/>
                <w:sz w:val="21"/>
                <w:szCs w:val="21"/>
                <w:highlight w:val="none"/>
                <w:lang w:val="en-US" w:eastAsia="zh-CN" w:bidi="ar-SA"/>
              </w:rPr>
            </w:pPr>
          </w:p>
        </w:tc>
        <w:tc>
          <w:tcPr>
            <w:tcW w:w="1887" w:type="dxa"/>
            <w:gridSpan w:val="2"/>
            <w:shd w:val="clear" w:color="auto" w:fill="auto"/>
            <w:vAlign w:val="center"/>
          </w:tcPr>
          <w:p>
            <w:pPr>
              <w:numPr>
                <w:ilvl w:val="0"/>
                <w:numId w:val="0"/>
              </w:numPr>
              <w:shd w:val="clear"/>
              <w:ind w:left="0" w:leftChars="0" w:firstLine="0" w:firstLineChars="0"/>
              <w:jc w:val="center"/>
              <w:rPr>
                <w:rFonts w:hint="eastAsia" w:ascii="黑体" w:hAnsi="黑体" w:eastAsia="黑体" w:cs="黑体"/>
                <w:color w:val="auto"/>
                <w:kern w:val="2"/>
                <w:sz w:val="21"/>
                <w:szCs w:val="21"/>
                <w:highlight w:val="none"/>
                <w:lang w:val="en-US" w:eastAsia="zh-CN" w:bidi="ar-SA"/>
              </w:rPr>
            </w:pPr>
          </w:p>
        </w:tc>
        <w:tc>
          <w:tcPr>
            <w:tcW w:w="2122" w:type="dxa"/>
            <w:gridSpan w:val="2"/>
            <w:shd w:val="clear" w:color="auto" w:fill="auto"/>
            <w:vAlign w:val="center"/>
          </w:tcPr>
          <w:p>
            <w:pPr>
              <w:numPr>
                <w:ilvl w:val="0"/>
                <w:numId w:val="0"/>
              </w:numPr>
              <w:shd w:val="clear"/>
              <w:ind w:left="0" w:leftChars="0" w:firstLine="0" w:firstLineChars="0"/>
              <w:jc w:val="center"/>
              <w:rPr>
                <w:rFonts w:hint="eastAsia" w:ascii="黑体" w:hAnsi="黑体" w:eastAsia="黑体" w:cs="黑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hint="eastAsia" w:ascii="黑体" w:hAnsi="黑体" w:eastAsia="黑体" w:cs="黑体"/>
                <w:color w:val="auto"/>
                <w:szCs w:val="21"/>
                <w:highlight w:val="none"/>
              </w:rPr>
            </w:pPr>
          </w:p>
        </w:tc>
        <w:tc>
          <w:tcPr>
            <w:tcW w:w="2148"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资源输入</w:t>
            </w: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项目</w:t>
            </w:r>
          </w:p>
        </w:tc>
        <w:tc>
          <w:tcPr>
            <w:tcW w:w="2148"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数据来源</w:t>
            </w: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运输方式/距离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eastAsia" w:ascii="宋体" w:hAnsi="宋体" w:cs="宋体"/>
                <w:i w:val="0"/>
                <w:iCs w:val="0"/>
                <w:color w:val="auto"/>
                <w:kern w:val="0"/>
                <w:sz w:val="21"/>
                <w:szCs w:val="21"/>
                <w:highlight w:val="none"/>
                <w:u w:val="none"/>
                <w:lang w:val="en-US" w:eastAsia="zh-CN" w:bidi="ar"/>
              </w:rPr>
              <w:t>漆包线</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lang w:val="en-US" w:eastAsia="zh-CN"/>
              </w:rPr>
              <w:t>kg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default" w:ascii="宋体" w:hAnsi="宋体" w:cs="宋体"/>
                <w:i w:val="0"/>
                <w:iCs w:val="0"/>
                <w:color w:val="auto"/>
                <w:kern w:val="0"/>
                <w:sz w:val="21"/>
                <w:szCs w:val="21"/>
                <w:highlight w:val="none"/>
                <w:u w:val="none"/>
                <w:lang w:val="en-US" w:eastAsia="zh-CN" w:bidi="ar"/>
              </w:rPr>
              <w:t>轭铁</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default" w:ascii="宋体" w:hAnsi="宋体" w:cs="宋体"/>
                <w:i w:val="0"/>
                <w:iCs w:val="0"/>
                <w:color w:val="auto"/>
                <w:kern w:val="0"/>
                <w:sz w:val="21"/>
                <w:szCs w:val="21"/>
                <w:highlight w:val="none"/>
                <w:u w:val="none"/>
                <w:lang w:val="en-US" w:eastAsia="zh-CN" w:bidi="ar"/>
              </w:rPr>
              <w:t>线圈架</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default" w:ascii="宋体" w:hAnsi="宋体" w:cs="宋体"/>
                <w:i w:val="0"/>
                <w:iCs w:val="0"/>
                <w:color w:val="auto"/>
                <w:kern w:val="0"/>
                <w:sz w:val="21"/>
                <w:szCs w:val="21"/>
                <w:highlight w:val="none"/>
                <w:u w:val="none"/>
                <w:lang w:val="en-US" w:eastAsia="zh-CN" w:bidi="ar"/>
              </w:rPr>
              <w:t>铁芯</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default" w:ascii="宋体" w:hAnsi="宋体" w:cs="宋体"/>
                <w:i w:val="0"/>
                <w:iCs w:val="0"/>
                <w:color w:val="auto"/>
                <w:kern w:val="0"/>
                <w:sz w:val="21"/>
                <w:szCs w:val="21"/>
                <w:highlight w:val="none"/>
                <w:u w:val="none"/>
                <w:lang w:val="en-US" w:eastAsia="zh-CN" w:bidi="ar"/>
              </w:rPr>
              <w:t>簧片</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top"/>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eastAsia" w:ascii="宋体" w:hAnsi="宋体" w:cs="宋体"/>
                <w:i w:val="0"/>
                <w:iCs w:val="0"/>
                <w:color w:val="auto"/>
                <w:kern w:val="0"/>
                <w:sz w:val="21"/>
                <w:szCs w:val="21"/>
                <w:highlight w:val="none"/>
                <w:u w:val="none"/>
                <w:lang w:val="en-US" w:eastAsia="zh-CN" w:bidi="ar"/>
              </w:rPr>
              <w:t>润滑油</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top"/>
          </w:tcPr>
          <w:p>
            <w:pPr>
              <w:keepNext w:val="0"/>
              <w:keepLines w:val="0"/>
              <w:widowControl/>
              <w:suppressLineNumbers w:val="0"/>
              <w:shd w:val="clear"/>
              <w:jc w:val="center"/>
              <w:textAlignment w:val="center"/>
              <w:rPr>
                <w:rFonts w:ascii="宋体" w:hAnsi="宋体" w:cs="宋体"/>
                <w:color w:val="auto"/>
                <w:kern w:val="0"/>
                <w:szCs w:val="21"/>
                <w:highlight w:val="none"/>
                <w:lang w:bidi="ar"/>
              </w:rPr>
            </w:pPr>
            <w:r>
              <w:rPr>
                <w:rFonts w:hint="eastAsia" w:ascii="宋体" w:hAnsi="宋体" w:cs="宋体"/>
                <w:i w:val="0"/>
                <w:iCs w:val="0"/>
                <w:color w:val="auto"/>
                <w:kern w:val="0"/>
                <w:sz w:val="21"/>
                <w:szCs w:val="21"/>
                <w:highlight w:val="none"/>
                <w:u w:val="none"/>
                <w:lang w:val="en-US" w:eastAsia="zh-CN" w:bidi="ar"/>
              </w:rPr>
              <w:t>新鲜水</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宋体" w:hAnsi="宋体" w:cs="宋体"/>
                <w:color w:val="auto"/>
                <w:kern w:val="0"/>
                <w:szCs w:val="21"/>
                <w:highlight w:val="none"/>
                <w:lang w:bidi="ar"/>
              </w:rPr>
            </w:pPr>
            <w:r>
              <w:rPr>
                <w:rFonts w:hint="eastAsia" w:ascii="宋体" w:hAnsi="宋体" w:cs="宋体"/>
                <w:color w:val="auto"/>
                <w:kern w:val="0"/>
                <w:sz w:val="21"/>
                <w:szCs w:val="21"/>
                <w:highlight w:val="none"/>
                <w:lang w:eastAsia="zh-CN" w:bidi="ar"/>
              </w:rPr>
              <w:t>……</w:t>
            </w:r>
          </w:p>
        </w:tc>
        <w:tc>
          <w:tcPr>
            <w:tcW w:w="2148" w:type="dxa"/>
            <w:gridSpan w:val="2"/>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w:t>
            </w:r>
            <w:r>
              <w:rPr>
                <w:rFonts w:ascii="Times New Roman" w:hAnsi="Times New Roman" w:eastAsia="黑体"/>
                <w:color w:val="auto"/>
                <w:szCs w:val="21"/>
                <w:highlight w:val="none"/>
              </w:rPr>
              <w:t>g</w:t>
            </w:r>
          </w:p>
        </w:tc>
        <w:tc>
          <w:tcPr>
            <w:tcW w:w="1858" w:type="dxa"/>
            <w:gridSpan w:val="3"/>
            <w:shd w:val="clear" w:color="auto" w:fill="auto"/>
            <w:vAlign w:val="center"/>
          </w:tcPr>
          <w:p>
            <w:pPr>
              <w:shd w:val="clear"/>
              <w:jc w:val="center"/>
              <w:rPr>
                <w:rFonts w:ascii="黑体" w:hAnsi="黑体" w:eastAsia="黑体" w:cs="黑体"/>
                <w:color w:val="auto"/>
                <w:szCs w:val="21"/>
                <w:highlight w:val="none"/>
              </w:rPr>
            </w:pPr>
          </w:p>
        </w:tc>
        <w:tc>
          <w:tcPr>
            <w:tcW w:w="1887" w:type="dxa"/>
            <w:gridSpan w:val="2"/>
            <w:shd w:val="clear" w:color="auto" w:fill="auto"/>
            <w:vAlign w:val="center"/>
          </w:tcPr>
          <w:p>
            <w:pPr>
              <w:shd w:val="clear"/>
              <w:jc w:val="center"/>
              <w:rPr>
                <w:rFonts w:ascii="黑体" w:hAnsi="黑体" w:eastAsia="黑体" w:cs="黑体"/>
                <w:color w:val="auto"/>
                <w:szCs w:val="21"/>
                <w:highlight w:val="none"/>
              </w:rPr>
            </w:pPr>
          </w:p>
        </w:tc>
        <w:tc>
          <w:tcPr>
            <w:tcW w:w="2122" w:type="dxa"/>
            <w:gridSpan w:val="2"/>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8" w:type="dxa"/>
            <w:gridSpan w:val="10"/>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能源输入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项目</w:t>
            </w:r>
          </w:p>
        </w:tc>
        <w:tc>
          <w:tcPr>
            <w:tcW w:w="1603"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1425" w:type="dxa"/>
            <w:gridSpan w:val="3"/>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1465"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数据来源</w:t>
            </w:r>
          </w:p>
        </w:tc>
        <w:tc>
          <w:tcPr>
            <w:tcW w:w="1918"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生产工艺/流程</w:t>
            </w:r>
          </w:p>
        </w:tc>
        <w:tc>
          <w:tcPr>
            <w:tcW w:w="1604"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电力</w:t>
            </w:r>
          </w:p>
        </w:tc>
        <w:tc>
          <w:tcPr>
            <w:tcW w:w="1603" w:type="dxa"/>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lang w:val="en-US" w:eastAsia="zh-CN"/>
              </w:rPr>
              <w:t>kWh</w:t>
            </w:r>
          </w:p>
        </w:tc>
        <w:tc>
          <w:tcPr>
            <w:tcW w:w="1425" w:type="dxa"/>
            <w:gridSpan w:val="3"/>
            <w:shd w:val="clear" w:color="auto" w:fill="auto"/>
            <w:vAlign w:val="center"/>
          </w:tcPr>
          <w:p>
            <w:pPr>
              <w:shd w:val="clear"/>
              <w:jc w:val="center"/>
              <w:rPr>
                <w:rFonts w:ascii="黑体" w:hAnsi="黑体" w:eastAsia="黑体" w:cs="黑体"/>
                <w:color w:val="auto"/>
                <w:szCs w:val="21"/>
                <w:highlight w:val="none"/>
              </w:rPr>
            </w:pPr>
          </w:p>
        </w:tc>
        <w:tc>
          <w:tcPr>
            <w:tcW w:w="1465" w:type="dxa"/>
            <w:gridSpan w:val="2"/>
            <w:shd w:val="clear" w:color="auto" w:fill="auto"/>
            <w:vAlign w:val="center"/>
          </w:tcPr>
          <w:p>
            <w:pPr>
              <w:shd w:val="clear"/>
              <w:jc w:val="center"/>
              <w:rPr>
                <w:rFonts w:ascii="黑体" w:hAnsi="黑体" w:eastAsia="黑体" w:cs="黑体"/>
                <w:color w:val="auto"/>
                <w:szCs w:val="21"/>
                <w:highlight w:val="none"/>
              </w:rPr>
            </w:pPr>
          </w:p>
        </w:tc>
        <w:tc>
          <w:tcPr>
            <w:tcW w:w="1918" w:type="dxa"/>
            <w:gridSpan w:val="2"/>
            <w:shd w:val="clear" w:color="auto" w:fill="auto"/>
            <w:vAlign w:val="center"/>
          </w:tcPr>
          <w:p>
            <w:pPr>
              <w:shd w:val="clear"/>
              <w:jc w:val="center"/>
              <w:rPr>
                <w:rFonts w:ascii="黑体" w:hAnsi="黑体" w:eastAsia="黑体" w:cs="黑体"/>
                <w:color w:val="auto"/>
                <w:szCs w:val="21"/>
                <w:highlight w:val="none"/>
              </w:rPr>
            </w:pPr>
          </w:p>
        </w:tc>
        <w:tc>
          <w:tcPr>
            <w:tcW w:w="1604" w:type="dxa"/>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柴油</w:t>
            </w:r>
          </w:p>
        </w:tc>
        <w:tc>
          <w:tcPr>
            <w:tcW w:w="1603" w:type="dxa"/>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kg</w:t>
            </w:r>
          </w:p>
        </w:tc>
        <w:tc>
          <w:tcPr>
            <w:tcW w:w="1425" w:type="dxa"/>
            <w:gridSpan w:val="3"/>
            <w:shd w:val="clear" w:color="auto" w:fill="auto"/>
            <w:vAlign w:val="center"/>
          </w:tcPr>
          <w:p>
            <w:pPr>
              <w:shd w:val="clear"/>
              <w:jc w:val="center"/>
              <w:rPr>
                <w:rFonts w:ascii="黑体" w:hAnsi="黑体" w:eastAsia="黑体" w:cs="黑体"/>
                <w:color w:val="auto"/>
                <w:szCs w:val="21"/>
                <w:highlight w:val="none"/>
              </w:rPr>
            </w:pPr>
          </w:p>
        </w:tc>
        <w:tc>
          <w:tcPr>
            <w:tcW w:w="1465" w:type="dxa"/>
            <w:gridSpan w:val="2"/>
            <w:shd w:val="clear" w:color="auto" w:fill="auto"/>
            <w:vAlign w:val="center"/>
          </w:tcPr>
          <w:p>
            <w:pPr>
              <w:shd w:val="clear"/>
              <w:jc w:val="center"/>
              <w:rPr>
                <w:rFonts w:ascii="黑体" w:hAnsi="黑体" w:eastAsia="黑体" w:cs="黑体"/>
                <w:color w:val="auto"/>
                <w:szCs w:val="21"/>
                <w:highlight w:val="none"/>
              </w:rPr>
            </w:pPr>
          </w:p>
        </w:tc>
        <w:tc>
          <w:tcPr>
            <w:tcW w:w="1918" w:type="dxa"/>
            <w:gridSpan w:val="2"/>
            <w:shd w:val="clear" w:color="auto" w:fill="auto"/>
            <w:vAlign w:val="center"/>
          </w:tcPr>
          <w:p>
            <w:pPr>
              <w:shd w:val="clear"/>
              <w:jc w:val="center"/>
              <w:rPr>
                <w:rFonts w:ascii="黑体" w:hAnsi="黑体" w:eastAsia="黑体" w:cs="黑体"/>
                <w:color w:val="auto"/>
                <w:szCs w:val="21"/>
                <w:highlight w:val="none"/>
              </w:rPr>
            </w:pPr>
          </w:p>
        </w:tc>
        <w:tc>
          <w:tcPr>
            <w:tcW w:w="1604" w:type="dxa"/>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燃煤</w:t>
            </w:r>
          </w:p>
        </w:tc>
        <w:tc>
          <w:tcPr>
            <w:tcW w:w="1603" w:type="dxa"/>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kg</w:t>
            </w:r>
          </w:p>
        </w:tc>
        <w:tc>
          <w:tcPr>
            <w:tcW w:w="1425" w:type="dxa"/>
            <w:gridSpan w:val="3"/>
            <w:shd w:val="clear" w:color="auto" w:fill="auto"/>
            <w:vAlign w:val="center"/>
          </w:tcPr>
          <w:p>
            <w:pPr>
              <w:shd w:val="clear"/>
              <w:jc w:val="center"/>
              <w:rPr>
                <w:rFonts w:ascii="黑体" w:hAnsi="黑体" w:eastAsia="黑体" w:cs="黑体"/>
                <w:color w:val="auto"/>
                <w:szCs w:val="21"/>
                <w:highlight w:val="none"/>
              </w:rPr>
            </w:pPr>
          </w:p>
        </w:tc>
        <w:tc>
          <w:tcPr>
            <w:tcW w:w="1465" w:type="dxa"/>
            <w:gridSpan w:val="2"/>
            <w:shd w:val="clear" w:color="auto" w:fill="auto"/>
            <w:vAlign w:val="center"/>
          </w:tcPr>
          <w:p>
            <w:pPr>
              <w:shd w:val="clear"/>
              <w:jc w:val="center"/>
              <w:rPr>
                <w:rFonts w:ascii="黑体" w:hAnsi="黑体" w:eastAsia="黑体" w:cs="黑体"/>
                <w:color w:val="auto"/>
                <w:szCs w:val="21"/>
                <w:highlight w:val="none"/>
              </w:rPr>
            </w:pPr>
          </w:p>
        </w:tc>
        <w:tc>
          <w:tcPr>
            <w:tcW w:w="1918" w:type="dxa"/>
            <w:gridSpan w:val="2"/>
            <w:shd w:val="clear" w:color="auto" w:fill="auto"/>
            <w:vAlign w:val="center"/>
          </w:tcPr>
          <w:p>
            <w:pPr>
              <w:shd w:val="clear"/>
              <w:jc w:val="center"/>
              <w:rPr>
                <w:rFonts w:ascii="黑体" w:hAnsi="黑体" w:eastAsia="黑体" w:cs="黑体"/>
                <w:color w:val="auto"/>
                <w:szCs w:val="21"/>
                <w:highlight w:val="none"/>
              </w:rPr>
            </w:pPr>
          </w:p>
        </w:tc>
        <w:tc>
          <w:tcPr>
            <w:tcW w:w="1604" w:type="dxa"/>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val="en-US" w:eastAsia="zh-CN" w:bidi="ar"/>
              </w:rPr>
              <w:t>天然气</w:t>
            </w:r>
          </w:p>
        </w:tc>
        <w:tc>
          <w:tcPr>
            <w:tcW w:w="1603" w:type="dxa"/>
            <w:shd w:val="clear" w:color="auto" w:fill="auto"/>
            <w:vAlign w:val="center"/>
          </w:tcPr>
          <w:p>
            <w:pPr>
              <w:shd w:val="clear"/>
              <w:jc w:val="center"/>
              <w:rPr>
                <w:rFonts w:hint="default" w:ascii="黑体" w:hAnsi="黑体" w:eastAsia="黑体" w:cs="黑体"/>
                <w:color w:val="auto"/>
                <w:szCs w:val="21"/>
                <w:highlight w:val="none"/>
                <w:lang w:val="en-US"/>
              </w:rPr>
            </w:pPr>
            <w:r>
              <w:rPr>
                <w:rFonts w:hint="eastAsia" w:ascii="Times New Roman" w:hAnsi="Times New Roman" w:eastAsia="黑体"/>
                <w:color w:val="auto"/>
                <w:szCs w:val="21"/>
                <w:highlight w:val="none"/>
                <w:lang w:val="en-US" w:eastAsia="zh-CN"/>
              </w:rPr>
              <w:t>m</w:t>
            </w:r>
            <w:r>
              <w:rPr>
                <w:rFonts w:hint="eastAsia" w:ascii="Times New Roman" w:hAnsi="Times New Roman" w:eastAsia="黑体"/>
                <w:color w:val="auto"/>
                <w:szCs w:val="21"/>
                <w:highlight w:val="none"/>
                <w:vertAlign w:val="superscript"/>
                <w:lang w:val="en-US" w:eastAsia="zh-CN"/>
              </w:rPr>
              <w:t>3</w:t>
            </w:r>
          </w:p>
        </w:tc>
        <w:tc>
          <w:tcPr>
            <w:tcW w:w="1425" w:type="dxa"/>
            <w:gridSpan w:val="3"/>
            <w:shd w:val="clear" w:color="auto" w:fill="auto"/>
            <w:vAlign w:val="center"/>
          </w:tcPr>
          <w:p>
            <w:pPr>
              <w:shd w:val="clear"/>
              <w:jc w:val="center"/>
              <w:rPr>
                <w:rFonts w:ascii="黑体" w:hAnsi="黑体" w:eastAsia="黑体" w:cs="黑体"/>
                <w:color w:val="auto"/>
                <w:szCs w:val="21"/>
                <w:highlight w:val="none"/>
              </w:rPr>
            </w:pPr>
          </w:p>
        </w:tc>
        <w:tc>
          <w:tcPr>
            <w:tcW w:w="1465" w:type="dxa"/>
            <w:gridSpan w:val="2"/>
            <w:shd w:val="clear" w:color="auto" w:fill="auto"/>
            <w:vAlign w:val="center"/>
          </w:tcPr>
          <w:p>
            <w:pPr>
              <w:shd w:val="clear"/>
              <w:jc w:val="center"/>
              <w:rPr>
                <w:rFonts w:ascii="黑体" w:hAnsi="黑体" w:eastAsia="黑体" w:cs="黑体"/>
                <w:color w:val="auto"/>
                <w:szCs w:val="21"/>
                <w:highlight w:val="none"/>
              </w:rPr>
            </w:pPr>
          </w:p>
        </w:tc>
        <w:tc>
          <w:tcPr>
            <w:tcW w:w="1918" w:type="dxa"/>
            <w:gridSpan w:val="2"/>
            <w:shd w:val="clear" w:color="auto" w:fill="auto"/>
            <w:vAlign w:val="center"/>
          </w:tcPr>
          <w:p>
            <w:pPr>
              <w:shd w:val="clear"/>
              <w:jc w:val="center"/>
              <w:rPr>
                <w:rFonts w:ascii="黑体" w:hAnsi="黑体" w:eastAsia="黑体" w:cs="黑体"/>
                <w:color w:val="auto"/>
                <w:szCs w:val="21"/>
                <w:highlight w:val="none"/>
              </w:rPr>
            </w:pPr>
          </w:p>
        </w:tc>
        <w:tc>
          <w:tcPr>
            <w:tcW w:w="1604" w:type="dxa"/>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hint="eastAsia" w:ascii="宋体" w:hAnsi="宋体" w:cs="宋体"/>
                <w:color w:val="auto"/>
                <w:kern w:val="0"/>
                <w:szCs w:val="21"/>
                <w:highlight w:val="none"/>
                <w:lang w:val="en-US" w:eastAsia="zh-CN" w:bidi="ar"/>
              </w:rPr>
            </w:pPr>
          </w:p>
        </w:tc>
        <w:tc>
          <w:tcPr>
            <w:tcW w:w="1603" w:type="dxa"/>
            <w:shd w:val="clear" w:color="auto" w:fill="auto"/>
            <w:vAlign w:val="center"/>
          </w:tcPr>
          <w:p>
            <w:pPr>
              <w:shd w:val="clear"/>
              <w:jc w:val="center"/>
              <w:rPr>
                <w:rFonts w:hint="eastAsia" w:ascii="Times New Roman" w:hAnsi="Times New Roman" w:eastAsia="黑体"/>
                <w:color w:val="auto"/>
                <w:szCs w:val="21"/>
                <w:highlight w:val="none"/>
                <w:lang w:val="en-US" w:eastAsia="zh-CN"/>
              </w:rPr>
            </w:pPr>
          </w:p>
        </w:tc>
        <w:tc>
          <w:tcPr>
            <w:tcW w:w="1425" w:type="dxa"/>
            <w:gridSpan w:val="3"/>
            <w:shd w:val="clear" w:color="auto" w:fill="auto"/>
            <w:vAlign w:val="center"/>
          </w:tcPr>
          <w:p>
            <w:pPr>
              <w:shd w:val="clear"/>
              <w:jc w:val="center"/>
              <w:rPr>
                <w:rFonts w:ascii="黑体" w:hAnsi="黑体" w:eastAsia="黑体" w:cs="黑体"/>
                <w:color w:val="auto"/>
                <w:szCs w:val="21"/>
                <w:highlight w:val="none"/>
              </w:rPr>
            </w:pPr>
          </w:p>
        </w:tc>
        <w:tc>
          <w:tcPr>
            <w:tcW w:w="1465" w:type="dxa"/>
            <w:gridSpan w:val="2"/>
            <w:shd w:val="clear" w:color="auto" w:fill="auto"/>
            <w:vAlign w:val="center"/>
          </w:tcPr>
          <w:p>
            <w:pPr>
              <w:shd w:val="clear"/>
              <w:jc w:val="center"/>
              <w:rPr>
                <w:rFonts w:ascii="黑体" w:hAnsi="黑体" w:eastAsia="黑体" w:cs="黑体"/>
                <w:color w:val="auto"/>
                <w:szCs w:val="21"/>
                <w:highlight w:val="none"/>
              </w:rPr>
            </w:pPr>
          </w:p>
        </w:tc>
        <w:tc>
          <w:tcPr>
            <w:tcW w:w="1918" w:type="dxa"/>
            <w:gridSpan w:val="2"/>
            <w:shd w:val="clear" w:color="auto" w:fill="auto"/>
            <w:vAlign w:val="center"/>
          </w:tcPr>
          <w:p>
            <w:pPr>
              <w:shd w:val="clear"/>
              <w:jc w:val="center"/>
              <w:rPr>
                <w:rFonts w:ascii="黑体" w:hAnsi="黑体" w:eastAsia="黑体" w:cs="黑体"/>
                <w:color w:val="auto"/>
                <w:szCs w:val="21"/>
                <w:highlight w:val="none"/>
              </w:rPr>
            </w:pPr>
          </w:p>
        </w:tc>
        <w:tc>
          <w:tcPr>
            <w:tcW w:w="1604" w:type="dxa"/>
            <w:shd w:val="clear" w:color="auto" w:fill="auto"/>
            <w:vAlign w:val="center"/>
          </w:tcPr>
          <w:p>
            <w:pPr>
              <w:shd w:val="clear"/>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8" w:type="dxa"/>
            <w:gridSpan w:val="10"/>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项目</w:t>
            </w:r>
          </w:p>
        </w:tc>
        <w:tc>
          <w:tcPr>
            <w:tcW w:w="2148" w:type="dxa"/>
            <w:gridSpan w:val="2"/>
            <w:shd w:val="clear" w:color="auto" w:fill="auto"/>
            <w:vAlign w:val="center"/>
          </w:tcPr>
          <w:p>
            <w:pPr>
              <w:shd w:val="clear"/>
              <w:jc w:val="center"/>
              <w:rPr>
                <w:rFonts w:ascii="黑体" w:hAnsi="黑体" w:eastAsia="黑体" w:cs="黑体"/>
                <w:color w:val="auto"/>
                <w:szCs w:val="21"/>
                <w:highlight w:val="none"/>
              </w:rPr>
            </w:pPr>
            <w:r>
              <w:rPr>
                <w:rFonts w:hint="eastAsia" w:ascii="黑体" w:hAnsi="黑体" w:eastAsia="黑体" w:cs="黑体"/>
                <w:color w:val="auto"/>
                <w:szCs w:val="21"/>
                <w:highlight w:val="none"/>
              </w:rPr>
              <w:t>排放方式</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单位</w:t>
            </w: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数量</w:t>
            </w: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氮氧化物</w:t>
            </w:r>
          </w:p>
        </w:tc>
        <w:tc>
          <w:tcPr>
            <w:tcW w:w="2148" w:type="dxa"/>
            <w:gridSpan w:val="2"/>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非甲烷总烃</w:t>
            </w:r>
          </w:p>
        </w:tc>
        <w:tc>
          <w:tcPr>
            <w:tcW w:w="2148" w:type="dxa"/>
            <w:gridSpan w:val="2"/>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甲醛</w:t>
            </w:r>
          </w:p>
        </w:tc>
        <w:tc>
          <w:tcPr>
            <w:tcW w:w="2148" w:type="dxa"/>
            <w:gridSpan w:val="2"/>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颗粒物</w:t>
            </w:r>
          </w:p>
        </w:tc>
        <w:tc>
          <w:tcPr>
            <w:tcW w:w="2148" w:type="dxa"/>
            <w:gridSpan w:val="2"/>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空气排放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COD</w:t>
            </w:r>
          </w:p>
        </w:tc>
        <w:tc>
          <w:tcPr>
            <w:tcW w:w="2148" w:type="dxa"/>
            <w:gridSpan w:val="2"/>
            <w:shd w:val="clear" w:color="auto" w:fill="auto"/>
            <w:vAlign w:val="center"/>
          </w:tcPr>
          <w:p>
            <w:pPr>
              <w:widowControl/>
              <w:shd w:val="clear"/>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水体排放</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污水处理</w:t>
            </w:r>
            <w:r>
              <w:rPr>
                <w:rFonts w:hint="eastAsia" w:ascii="宋体" w:hAnsi="宋体" w:cs="宋体"/>
                <w:color w:val="auto"/>
                <w:kern w:val="0"/>
                <w:szCs w:val="21"/>
                <w:highlight w:val="none"/>
                <w:lang w:eastAsia="zh-CN" w:bidi="ar"/>
              </w:rPr>
              <w:t>）</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shd w:val="clea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Cu</w:t>
            </w:r>
          </w:p>
        </w:tc>
        <w:tc>
          <w:tcPr>
            <w:tcW w:w="2148" w:type="dxa"/>
            <w:gridSpan w:val="2"/>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水体排放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水体排放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固废</w:t>
            </w:r>
          </w:p>
        </w:tc>
        <w:tc>
          <w:tcPr>
            <w:tcW w:w="2148" w:type="dxa"/>
            <w:gridSpan w:val="2"/>
            <w:shd w:val="clear" w:color="auto" w:fill="auto"/>
            <w:vAlign w:val="center"/>
          </w:tcPr>
          <w:p>
            <w:pPr>
              <w:widowControl/>
              <w:shd w:val="clear"/>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土壤排放</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处理方式</w:t>
            </w:r>
            <w:r>
              <w:rPr>
                <w:rFonts w:hint="eastAsia" w:ascii="宋体" w:hAnsi="宋体" w:cs="宋体"/>
                <w:color w:val="auto"/>
                <w:kern w:val="0"/>
                <w:szCs w:val="21"/>
                <w:highlight w:val="none"/>
                <w:lang w:eastAsia="zh-CN" w:bidi="ar"/>
              </w:rPr>
              <w:t>）</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3" w:type="dxa"/>
            <w:shd w:val="clear" w:color="auto" w:fill="auto"/>
            <w:vAlign w:val="center"/>
          </w:tcPr>
          <w:p>
            <w:pPr>
              <w:widowControl/>
              <w:shd w:val="clear"/>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w:t>
            </w:r>
          </w:p>
        </w:tc>
        <w:tc>
          <w:tcPr>
            <w:tcW w:w="2148" w:type="dxa"/>
            <w:gridSpan w:val="2"/>
            <w:shd w:val="clear" w:color="auto" w:fill="auto"/>
            <w:vAlign w:val="center"/>
          </w:tcPr>
          <w:p>
            <w:pPr>
              <w:shd w:val="clear"/>
              <w:jc w:val="center"/>
              <w:rPr>
                <w:rFonts w:hint="eastAsia" w:ascii="黑体" w:hAnsi="黑体" w:eastAsia="黑体" w:cs="黑体"/>
                <w:color w:val="auto"/>
                <w:szCs w:val="21"/>
                <w:highlight w:val="none"/>
              </w:rPr>
            </w:pPr>
            <w:r>
              <w:rPr>
                <w:rFonts w:hint="eastAsia" w:ascii="宋体" w:hAnsi="宋体" w:cs="宋体"/>
                <w:color w:val="auto"/>
                <w:kern w:val="0"/>
                <w:szCs w:val="21"/>
                <w:highlight w:val="none"/>
                <w:lang w:bidi="ar"/>
              </w:rPr>
              <w:t>土壤排放</w:t>
            </w:r>
          </w:p>
        </w:tc>
        <w:tc>
          <w:tcPr>
            <w:tcW w:w="1858" w:type="dxa"/>
            <w:gridSpan w:val="3"/>
            <w:shd w:val="clear" w:color="auto" w:fill="auto"/>
            <w:vAlign w:val="center"/>
          </w:tcPr>
          <w:p>
            <w:pPr>
              <w:shd w:val="clear"/>
              <w:jc w:val="center"/>
              <w:rPr>
                <w:rFonts w:hint="eastAsia" w:ascii="黑体" w:hAnsi="黑体" w:eastAsia="黑体" w:cs="黑体"/>
                <w:color w:val="auto"/>
                <w:szCs w:val="21"/>
                <w:highlight w:val="none"/>
              </w:rPr>
            </w:pPr>
          </w:p>
        </w:tc>
        <w:tc>
          <w:tcPr>
            <w:tcW w:w="1887" w:type="dxa"/>
            <w:gridSpan w:val="2"/>
            <w:shd w:val="clear" w:color="auto" w:fill="auto"/>
            <w:vAlign w:val="center"/>
          </w:tcPr>
          <w:p>
            <w:pPr>
              <w:shd w:val="clear"/>
              <w:jc w:val="center"/>
              <w:rPr>
                <w:rFonts w:hint="eastAsia" w:ascii="黑体" w:hAnsi="黑体" w:eastAsia="黑体" w:cs="黑体"/>
                <w:color w:val="auto"/>
                <w:szCs w:val="21"/>
                <w:highlight w:val="none"/>
              </w:rPr>
            </w:pPr>
          </w:p>
        </w:tc>
        <w:tc>
          <w:tcPr>
            <w:tcW w:w="2122" w:type="dxa"/>
            <w:gridSpan w:val="2"/>
            <w:shd w:val="clear" w:color="auto" w:fill="auto"/>
            <w:vAlign w:val="center"/>
          </w:tcPr>
          <w:p>
            <w:pPr>
              <w:shd w:val="clear"/>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9" w:type="dxa"/>
            <w:gridSpan w:val="4"/>
            <w:shd w:val="clear" w:color="auto" w:fill="auto"/>
            <w:vAlign w:val="center"/>
          </w:tcPr>
          <w:p>
            <w:pPr>
              <w:shd w:val="clear"/>
              <w:jc w:val="left"/>
              <w:rPr>
                <w:rFonts w:hint="eastAsia" w:ascii="黑体" w:hAnsi="黑体" w:eastAsia="黑体" w:cs="黑体"/>
                <w:color w:val="auto"/>
                <w:szCs w:val="21"/>
                <w:highlight w:val="none"/>
              </w:rPr>
            </w:pPr>
            <w:r>
              <w:rPr>
                <w:rFonts w:hint="eastAsia" w:ascii="宋体" w:hAnsi="宋体" w:cs="宋体"/>
                <w:color w:val="auto"/>
                <w:kern w:val="0"/>
                <w:szCs w:val="21"/>
                <w:highlight w:val="none"/>
                <w:lang w:val="en-US" w:eastAsia="zh-CN" w:bidi="ar"/>
              </w:rPr>
              <w:t>污水处理方式：</w:t>
            </w:r>
          </w:p>
        </w:tc>
        <w:tc>
          <w:tcPr>
            <w:tcW w:w="5009" w:type="dxa"/>
            <w:gridSpan w:val="6"/>
            <w:shd w:val="clear" w:color="auto" w:fill="auto"/>
            <w:vAlign w:val="center"/>
          </w:tcPr>
          <w:p>
            <w:pPr>
              <w:shd w:val="clear"/>
              <w:jc w:val="left"/>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固体废弃物处理方式：</w:t>
            </w:r>
          </w:p>
        </w:tc>
      </w:tr>
    </w:tbl>
    <w:p>
      <w:pPr>
        <w:numPr>
          <w:ilvl w:val="0"/>
          <w:numId w:val="0"/>
        </w:numPr>
        <w:shd w:val="clear"/>
        <w:ind w:firstLine="360" w:firstLineChars="200"/>
        <w:jc w:val="both"/>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18"/>
          <w:szCs w:val="18"/>
          <w:highlight w:val="none"/>
          <w:lang w:val="en-US" w:eastAsia="zh-CN"/>
        </w:rPr>
        <w:t>注：</w:t>
      </w:r>
      <w:r>
        <w:rPr>
          <w:rFonts w:hint="eastAsia" w:asciiTheme="minorEastAsia" w:hAnsiTheme="minorEastAsia" w:eastAsiaTheme="minorEastAsia" w:cstheme="minorEastAsia"/>
          <w:color w:val="auto"/>
          <w:sz w:val="18"/>
          <w:szCs w:val="18"/>
          <w:highlight w:val="none"/>
          <w:lang w:val="en-US" w:eastAsia="zh-CN"/>
        </w:rPr>
        <w:t>企业按实际情况填写。</w:t>
      </w:r>
    </w:p>
    <w:p>
      <w:pPr>
        <w:shd w:val="clea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br w:type="page"/>
      </w:r>
    </w:p>
    <w:p>
      <w:pPr>
        <w:shd w:val="clea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附录</w:t>
      </w:r>
      <w:r>
        <w:rPr>
          <w:rFonts w:hint="eastAsia" w:ascii="黑体" w:hAnsi="黑体" w:eastAsia="黑体" w:cs="黑体"/>
          <w:color w:val="auto"/>
          <w:szCs w:val="21"/>
          <w:highlight w:val="none"/>
          <w:lang w:val="en-US" w:eastAsia="zh-CN"/>
        </w:rPr>
        <w:t>B</w:t>
      </w:r>
    </w:p>
    <w:p>
      <w:pPr>
        <w:shd w:val="clear"/>
        <w:jc w:val="center"/>
        <w:rPr>
          <w:rFonts w:hint="eastAsia" w:ascii="黑体" w:hAnsi="黑体" w:eastAsia="黑体" w:cs="黑体"/>
          <w:color w:val="auto"/>
          <w:szCs w:val="21"/>
          <w:highlight w:val="none"/>
          <w:u w:val="none"/>
          <w:lang w:eastAsia="zh-CN"/>
        </w:rPr>
      </w:pPr>
      <w:r>
        <w:rPr>
          <w:rFonts w:hint="eastAsia" w:ascii="黑体" w:hAnsi="黑体" w:eastAsia="黑体" w:cs="黑体"/>
          <w:color w:val="auto"/>
          <w:szCs w:val="21"/>
          <w:highlight w:val="none"/>
          <w:u w:val="none"/>
          <w:lang w:eastAsia="zh-CN"/>
        </w:rPr>
        <w:t>（</w:t>
      </w:r>
      <w:r>
        <w:rPr>
          <w:rFonts w:hint="eastAsia" w:ascii="黑体" w:hAnsi="黑体" w:eastAsia="黑体" w:cs="黑体"/>
          <w:color w:val="auto"/>
          <w:szCs w:val="21"/>
          <w:highlight w:val="none"/>
          <w:u w:val="none"/>
          <w:lang w:val="en-US" w:eastAsia="zh-CN"/>
        </w:rPr>
        <w:t>资料性）</w:t>
      </w:r>
    </w:p>
    <w:p>
      <w:pPr>
        <w:shd w:val="clear"/>
        <w:jc w:val="center"/>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印制电路板生产工艺流程图</w:t>
      </w:r>
    </w:p>
    <w:p>
      <w:pPr>
        <w:shd w:val="clear"/>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B.1 基础机电继电器</w:t>
      </w:r>
      <w:r>
        <w:rPr>
          <w:rFonts w:hint="eastAsia" w:ascii="黑体" w:hAnsi="黑体" w:eastAsia="黑体" w:cs="黑体"/>
          <w:color w:val="auto"/>
          <w:szCs w:val="21"/>
          <w:highlight w:val="none"/>
        </w:rPr>
        <w:t>工艺流程</w:t>
      </w:r>
      <w:r>
        <w:rPr>
          <w:rFonts w:hint="eastAsia" w:ascii="黑体" w:hAnsi="黑体" w:eastAsia="黑体" w:cs="黑体"/>
          <w:color w:val="auto"/>
          <w:szCs w:val="21"/>
          <w:highlight w:val="none"/>
          <w:lang w:val="en-US" w:eastAsia="zh-CN"/>
        </w:rPr>
        <w:t>如图B.1所示。</w:t>
      </w:r>
    </w:p>
    <w:p>
      <w:pPr>
        <w:shd w:val="clear"/>
        <w:ind w:firstLine="480" w:firstLineChars="200"/>
        <w:jc w:val="center"/>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object>
          <v:shape id="_x0000_i1026" o:spt="75" type="#_x0000_t75" style="height:212.8pt;width:497.6pt;" o:ole="t" filled="f" o:preferrelative="t" stroked="f" coordsize="21600,21600">
            <v:path/>
            <v:fill on="f" focussize="0,0"/>
            <v:stroke on="f"/>
            <v:imagedata r:id="rId7" o:title=""/>
            <o:lock v:ext="edit" aspectratio="f"/>
            <w10:wrap type="none"/>
            <w10:anchorlock/>
          </v:shape>
          <o:OLEObject Type="Embed" ProgID="Visio.Drawing.15" ShapeID="_x0000_i1026" DrawAspect="Content" ObjectID="_1468075726" r:id="rId6">
            <o:LockedField>false</o:LockedField>
          </o:OLEObject>
        </w:object>
      </w:r>
      <w:r>
        <w:rPr>
          <w:rFonts w:hint="eastAsia" w:ascii="黑体" w:hAnsi="黑体" w:eastAsia="黑体" w:cs="黑体"/>
          <w:color w:val="auto"/>
          <w:szCs w:val="21"/>
          <w:highlight w:val="none"/>
        </w:rPr>
        <w:t>图</w:t>
      </w:r>
      <w:r>
        <w:rPr>
          <w:rFonts w:hint="eastAsia" w:ascii="黑体" w:hAnsi="黑体" w:eastAsia="黑体" w:cs="黑体"/>
          <w:color w:val="auto"/>
          <w:szCs w:val="21"/>
          <w:highlight w:val="none"/>
          <w:lang w:val="en-US" w:eastAsia="zh-CN"/>
        </w:rPr>
        <w:t>B.1</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val="en-US" w:eastAsia="zh-CN"/>
        </w:rPr>
        <w:t>基础机电继电器</w:t>
      </w:r>
      <w:r>
        <w:rPr>
          <w:rFonts w:hint="eastAsia" w:ascii="黑体" w:hAnsi="黑体" w:eastAsia="黑体" w:cs="黑体"/>
          <w:color w:val="auto"/>
          <w:szCs w:val="21"/>
          <w:highlight w:val="none"/>
        </w:rPr>
        <w:t>典型生产工艺流程图</w:t>
      </w:r>
    </w:p>
    <w:p>
      <w:pPr>
        <w:shd w:val="clear"/>
        <w:rPr>
          <w:rFonts w:hint="eastAsia" w:ascii="宋体" w:hAnsi="宋体" w:cs="宋体"/>
          <w:color w:val="auto"/>
          <w:szCs w:val="21"/>
          <w:highlight w:val="none"/>
        </w:rPr>
      </w:pPr>
      <w:r>
        <w:rPr>
          <w:rFonts w:hint="eastAsia" w:ascii="宋体" w:hAnsi="宋体" w:cs="宋体"/>
          <w:color w:val="auto"/>
          <w:szCs w:val="21"/>
          <w:highlight w:val="none"/>
        </w:rPr>
        <w:br w:type="page"/>
      </w:r>
    </w:p>
    <w:p>
      <w:pPr>
        <w:shd w:val="clea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附录</w:t>
      </w:r>
      <w:r>
        <w:rPr>
          <w:rFonts w:hint="eastAsia" w:ascii="黑体" w:hAnsi="黑体" w:eastAsia="黑体" w:cs="黑体"/>
          <w:color w:val="auto"/>
          <w:szCs w:val="21"/>
          <w:highlight w:val="none"/>
          <w:lang w:val="en-US" w:eastAsia="zh-CN"/>
        </w:rPr>
        <w:t>C</w:t>
      </w:r>
    </w:p>
    <w:p>
      <w:pPr>
        <w:shd w:val="clear"/>
        <w:jc w:val="center"/>
        <w:rPr>
          <w:rFonts w:hint="eastAsia" w:ascii="黑体" w:hAnsi="黑体" w:eastAsia="黑体" w:cs="黑体"/>
          <w:color w:val="auto"/>
          <w:szCs w:val="21"/>
          <w:highlight w:val="none"/>
          <w:u w:val="none"/>
          <w:lang w:eastAsia="zh-CN"/>
        </w:rPr>
      </w:pPr>
      <w:r>
        <w:rPr>
          <w:rFonts w:hint="eastAsia" w:ascii="黑体" w:hAnsi="黑体" w:eastAsia="黑体" w:cs="黑体"/>
          <w:color w:val="auto"/>
          <w:szCs w:val="21"/>
          <w:highlight w:val="none"/>
          <w:u w:val="none"/>
          <w:lang w:eastAsia="zh-CN"/>
        </w:rPr>
        <w:t>（</w:t>
      </w:r>
      <w:r>
        <w:rPr>
          <w:rFonts w:hint="eastAsia" w:ascii="黑体" w:hAnsi="黑体" w:eastAsia="黑体" w:cs="黑体"/>
          <w:color w:val="auto"/>
          <w:szCs w:val="21"/>
          <w:highlight w:val="none"/>
          <w:u w:val="none"/>
          <w:lang w:val="en-US" w:eastAsia="zh-CN"/>
        </w:rPr>
        <w:t>资料性</w:t>
      </w:r>
      <w:r>
        <w:rPr>
          <w:rFonts w:hint="eastAsia" w:ascii="黑体" w:hAnsi="黑体" w:eastAsia="黑体" w:cs="黑体"/>
          <w:color w:val="auto"/>
          <w:szCs w:val="21"/>
          <w:highlight w:val="none"/>
          <w:u w:val="none"/>
          <w:lang w:val="en-US" w:eastAsia="zh-CN"/>
        </w:rPr>
        <w:t>）</w:t>
      </w:r>
    </w:p>
    <w:p>
      <w:pPr>
        <w:shd w:val="clear"/>
        <w:jc w:val="center"/>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数据质量评价</w:t>
      </w:r>
    </w:p>
    <w:p>
      <w:pPr>
        <w:shd w:val="clear"/>
        <w:jc w:val="left"/>
        <w:rPr>
          <w:rFonts w:hint="default" w:ascii="宋体" w:hAnsi="宋体" w:eastAsia="宋体" w:cs="宋体"/>
          <w:color w:val="auto"/>
          <w:szCs w:val="21"/>
          <w:highlight w:val="none"/>
          <w:lang w:val="en-US" w:eastAsia="zh-CN"/>
        </w:rPr>
      </w:pPr>
      <w:r>
        <w:rPr>
          <w:rFonts w:hint="eastAsia" w:ascii="黑体" w:hAnsi="黑体" w:eastAsia="黑体" w:cs="黑体"/>
          <w:color w:val="auto"/>
          <w:szCs w:val="21"/>
          <w:highlight w:val="none"/>
          <w:lang w:val="en-US" w:eastAsia="zh-CN"/>
        </w:rPr>
        <w:t>C.1</w:t>
      </w:r>
      <w:r>
        <w:rPr>
          <w:rFonts w:hint="eastAsia" w:ascii="黑体" w:hAnsi="黑体" w:eastAsia="黑体" w:cs="黑体"/>
          <w:color w:val="auto"/>
          <w:szCs w:val="21"/>
          <w:highlight w:val="none"/>
          <w:lang w:val="en-US" w:eastAsia="zh-CN"/>
        </w:rPr>
        <w:t xml:space="preserve"> 数据质量评价见表C.1。</w:t>
      </w:r>
    </w:p>
    <w:p>
      <w:pPr>
        <w:shd w:val="clear"/>
        <w:ind w:firstLine="48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表</w:t>
      </w:r>
      <w:r>
        <w:rPr>
          <w:rFonts w:hint="eastAsia" w:ascii="黑体" w:hAnsi="黑体" w:eastAsia="黑体" w:cs="黑体"/>
          <w:color w:val="auto"/>
          <w:szCs w:val="21"/>
          <w:highlight w:val="none"/>
          <w:lang w:val="en-US" w:eastAsia="zh-CN"/>
        </w:rPr>
        <w:t>C.1</w:t>
      </w:r>
      <w:r>
        <w:rPr>
          <w:rFonts w:hint="eastAsia" w:ascii="黑体" w:hAnsi="黑体" w:eastAsia="黑体" w:cs="黑体"/>
          <w:color w:val="auto"/>
          <w:szCs w:val="21"/>
          <w:highlight w:val="none"/>
        </w:rPr>
        <w:t xml:space="preserve">  数据质量评价体系表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684"/>
        <w:gridCol w:w="716"/>
        <w:gridCol w:w="796"/>
        <w:gridCol w:w="862"/>
        <w:gridCol w:w="829"/>
        <w:gridCol w:w="829"/>
        <w:gridCol w:w="829"/>
        <w:gridCol w:w="563"/>
        <w:gridCol w:w="828"/>
        <w:gridCol w:w="108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gridSpan w:val="3"/>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数据来源</w:t>
            </w:r>
          </w:p>
        </w:tc>
        <w:tc>
          <w:tcPr>
            <w:tcW w:w="4145" w:type="dxa"/>
            <w:gridSpan w:val="5"/>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数据类型</w:t>
            </w:r>
          </w:p>
        </w:tc>
        <w:tc>
          <w:tcPr>
            <w:tcW w:w="3359" w:type="dxa"/>
            <w:gridSpan w:val="4"/>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数据时间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生产现场</w:t>
            </w:r>
          </w:p>
        </w:tc>
        <w:tc>
          <w:tcPr>
            <w:tcW w:w="684"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文献</w:t>
            </w:r>
          </w:p>
        </w:tc>
        <w:tc>
          <w:tcPr>
            <w:tcW w:w="716"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96"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测量</w:t>
            </w:r>
          </w:p>
        </w:tc>
        <w:tc>
          <w:tcPr>
            <w:tcW w:w="862"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计算</w:t>
            </w:r>
          </w:p>
        </w:tc>
        <w:tc>
          <w:tcPr>
            <w:tcW w:w="829"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平均</w:t>
            </w:r>
          </w:p>
        </w:tc>
        <w:tc>
          <w:tcPr>
            <w:tcW w:w="829"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估算</w:t>
            </w:r>
          </w:p>
        </w:tc>
        <w:tc>
          <w:tcPr>
            <w:tcW w:w="829"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未知</w:t>
            </w:r>
          </w:p>
        </w:tc>
        <w:tc>
          <w:tcPr>
            <w:tcW w:w="563"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28"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≤5年</w:t>
            </w:r>
          </w:p>
        </w:tc>
        <w:tc>
          <w:tcPr>
            <w:tcW w:w="1085"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5年~10年</w:t>
            </w:r>
          </w:p>
        </w:tc>
        <w:tc>
          <w:tcPr>
            <w:tcW w:w="883"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684"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16"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6"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62"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29"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29"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29"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63"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28"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85"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3" w:type="dxa"/>
            <w:shd w:val="clear" w:color="auto" w:fill="auto"/>
            <w:vAlign w:val="center"/>
          </w:tcPr>
          <w:p>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bl>
    <w:p>
      <w:pPr>
        <w:shd w:val="clear"/>
        <w:ind w:firstLine="480"/>
        <w:rPr>
          <w:rFonts w:hint="eastAsia" w:ascii="黑体" w:hAnsi="黑体" w:eastAsia="黑体" w:cs="黑体"/>
          <w:color w:val="auto"/>
          <w:szCs w:val="21"/>
          <w:highlight w:val="none"/>
        </w:rPr>
      </w:pPr>
    </w:p>
    <w:p>
      <w:pPr>
        <w:shd w:val="clear"/>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该评价体系的数据评价指标有3个：来源、类型和时间，并用5级分制来定义数据质量。该方法以计算每个数据的得分来判断数据质量（最高15分），以计算单元过程所有数据的评价质量。</w:t>
      </w:r>
      <w:r>
        <w:rPr>
          <w:rFonts w:hint="eastAsia" w:ascii="宋体" w:hAnsi="宋体" w:cs="宋体"/>
          <w:color w:val="auto"/>
          <w:szCs w:val="21"/>
          <w:highlight w:val="none"/>
          <w:lang w:val="en-US" w:eastAsia="zh-CN"/>
        </w:rPr>
        <w:t>宜对所有</w:t>
      </w:r>
      <w:r>
        <w:rPr>
          <w:rFonts w:hint="eastAsia" w:ascii="宋体" w:hAnsi="宋体" w:cs="宋体"/>
          <w:color w:val="auto"/>
          <w:szCs w:val="21"/>
          <w:highlight w:val="none"/>
        </w:rPr>
        <w:t>数据进行敏感性分析或不确定性分析，通过敏感性检查说明产品生命周期忽略的过程、忽略的现场数据、以及主要的假设等相关因素可能对最终结果造成的影响，说明背景数据选择、现场数据收集与处理是否符合本标准的要求。</w:t>
      </w:r>
    </w:p>
    <w:p>
      <w:pPr>
        <w:numPr>
          <w:ilvl w:val="0"/>
          <w:numId w:val="0"/>
        </w:numPr>
        <w:shd w:val="clear"/>
        <w:jc w:val="both"/>
        <w:rPr>
          <w:rFonts w:hint="eastAsia" w:ascii="黑体" w:hAnsi="黑体" w:eastAsia="黑体" w:cs="黑体"/>
          <w:color w:val="auto"/>
          <w:sz w:val="24"/>
          <w:szCs w:val="24"/>
          <w:highlight w:val="none"/>
          <w:lang w:val="en-US" w:eastAsia="zh-CN"/>
        </w:rPr>
      </w:pPr>
    </w:p>
    <w:sectPr>
      <w:pgSz w:w="11906" w:h="16838"/>
      <w:pgMar w:top="1440" w:right="1080" w:bottom="1440" w:left="108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C8B1F"/>
    <w:multiLevelType w:val="singleLevel"/>
    <w:tmpl w:val="BE2C8B1F"/>
    <w:lvl w:ilvl="0" w:tentative="0">
      <w:start w:val="1"/>
      <w:numFmt w:val="lowerLetter"/>
      <w:suff w:val="space"/>
      <w:lvlText w:val="%1)"/>
      <w:lvlJc w:val="left"/>
    </w:lvl>
  </w:abstractNum>
  <w:abstractNum w:abstractNumId="1">
    <w:nsid w:val="E269B514"/>
    <w:multiLevelType w:val="singleLevel"/>
    <w:tmpl w:val="E269B514"/>
    <w:lvl w:ilvl="0" w:tentative="0">
      <w:start w:val="1"/>
      <w:numFmt w:val="lowerLetter"/>
      <w:suff w:val="space"/>
      <w:lvlText w:val="%1）"/>
      <w:lvlJc w:val="left"/>
    </w:lvl>
  </w:abstractNum>
  <w:abstractNum w:abstractNumId="2">
    <w:nsid w:val="48EBB536"/>
    <w:multiLevelType w:val="singleLevel"/>
    <w:tmpl w:val="48EBB536"/>
    <w:lvl w:ilvl="0" w:tentative="0">
      <w:start w:val="1"/>
      <w:numFmt w:val="decimal"/>
      <w:lvlText w:val="%1."/>
      <w:lvlJc w:val="left"/>
      <w:pPr>
        <w:ind w:left="425" w:hanging="425"/>
      </w:pPr>
      <w:rPr>
        <w:rFonts w:hint="default"/>
      </w:rPr>
    </w:lvl>
  </w:abstractNum>
  <w:abstractNum w:abstractNumId="3">
    <w:nsid w:val="60AF1961"/>
    <w:multiLevelType w:val="singleLevel"/>
    <w:tmpl w:val="60AF1961"/>
    <w:lvl w:ilvl="0" w:tentative="0">
      <w:start w:val="1"/>
      <w:numFmt w:val="lowerLetter"/>
      <w:suff w:val="nothing"/>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F79A4"/>
    <w:rsid w:val="0070664B"/>
    <w:rsid w:val="02877DA1"/>
    <w:rsid w:val="02A81F48"/>
    <w:rsid w:val="03E56A9D"/>
    <w:rsid w:val="0480572F"/>
    <w:rsid w:val="05C83D27"/>
    <w:rsid w:val="060F0D77"/>
    <w:rsid w:val="061E16D0"/>
    <w:rsid w:val="06A64F07"/>
    <w:rsid w:val="07B311B1"/>
    <w:rsid w:val="081E1DD8"/>
    <w:rsid w:val="0AB26F8D"/>
    <w:rsid w:val="0C7261D6"/>
    <w:rsid w:val="0D922889"/>
    <w:rsid w:val="0DD40F65"/>
    <w:rsid w:val="0E1C50DD"/>
    <w:rsid w:val="0F612570"/>
    <w:rsid w:val="0F6144F5"/>
    <w:rsid w:val="11485B8E"/>
    <w:rsid w:val="1170269B"/>
    <w:rsid w:val="122D58D0"/>
    <w:rsid w:val="13524300"/>
    <w:rsid w:val="14BF0EC0"/>
    <w:rsid w:val="15EB292B"/>
    <w:rsid w:val="17BB58C7"/>
    <w:rsid w:val="1A8939C5"/>
    <w:rsid w:val="1BB07169"/>
    <w:rsid w:val="1DEA7FC6"/>
    <w:rsid w:val="1E400735"/>
    <w:rsid w:val="1EB66E5C"/>
    <w:rsid w:val="20B41287"/>
    <w:rsid w:val="21C756E2"/>
    <w:rsid w:val="21C813E8"/>
    <w:rsid w:val="26363661"/>
    <w:rsid w:val="27502D75"/>
    <w:rsid w:val="27CD627A"/>
    <w:rsid w:val="2A215B87"/>
    <w:rsid w:val="2AF524B8"/>
    <w:rsid w:val="2B4374AC"/>
    <w:rsid w:val="2D21785D"/>
    <w:rsid w:val="2D3E1D2B"/>
    <w:rsid w:val="2D5A1E5E"/>
    <w:rsid w:val="2D6C4A53"/>
    <w:rsid w:val="2DA23CA6"/>
    <w:rsid w:val="2F5D07B1"/>
    <w:rsid w:val="2F690302"/>
    <w:rsid w:val="2F874EC3"/>
    <w:rsid w:val="2FC0473B"/>
    <w:rsid w:val="301A019E"/>
    <w:rsid w:val="303C37EB"/>
    <w:rsid w:val="348918C0"/>
    <w:rsid w:val="348D755F"/>
    <w:rsid w:val="36695596"/>
    <w:rsid w:val="392D0B02"/>
    <w:rsid w:val="39352F06"/>
    <w:rsid w:val="39E83798"/>
    <w:rsid w:val="3C483BA4"/>
    <w:rsid w:val="3C685D08"/>
    <w:rsid w:val="3C973ED1"/>
    <w:rsid w:val="3F4A7E31"/>
    <w:rsid w:val="40B826EA"/>
    <w:rsid w:val="412E1B03"/>
    <w:rsid w:val="4168155C"/>
    <w:rsid w:val="41C261FA"/>
    <w:rsid w:val="42593D81"/>
    <w:rsid w:val="43220C89"/>
    <w:rsid w:val="43731644"/>
    <w:rsid w:val="44C019D9"/>
    <w:rsid w:val="46346704"/>
    <w:rsid w:val="469B66E1"/>
    <w:rsid w:val="46B62CFE"/>
    <w:rsid w:val="46F66147"/>
    <w:rsid w:val="479E37BB"/>
    <w:rsid w:val="481D70FD"/>
    <w:rsid w:val="483A5987"/>
    <w:rsid w:val="48EB4F59"/>
    <w:rsid w:val="490438FF"/>
    <w:rsid w:val="49E71BEB"/>
    <w:rsid w:val="4C013705"/>
    <w:rsid w:val="4C3B4866"/>
    <w:rsid w:val="4DB93488"/>
    <w:rsid w:val="4EB52DCE"/>
    <w:rsid w:val="4ED37A5D"/>
    <w:rsid w:val="50C23CC7"/>
    <w:rsid w:val="51EC5417"/>
    <w:rsid w:val="520B285D"/>
    <w:rsid w:val="5269399A"/>
    <w:rsid w:val="52E924ED"/>
    <w:rsid w:val="53BC5C4D"/>
    <w:rsid w:val="547C757C"/>
    <w:rsid w:val="54D86AFF"/>
    <w:rsid w:val="575B23B8"/>
    <w:rsid w:val="58AE3CAB"/>
    <w:rsid w:val="59B275F8"/>
    <w:rsid w:val="5A4B71D2"/>
    <w:rsid w:val="5AC13CC7"/>
    <w:rsid w:val="5C2F2893"/>
    <w:rsid w:val="5CAE20E7"/>
    <w:rsid w:val="5E4972BC"/>
    <w:rsid w:val="5F404694"/>
    <w:rsid w:val="5F4F79A4"/>
    <w:rsid w:val="60040225"/>
    <w:rsid w:val="602870D4"/>
    <w:rsid w:val="60F70397"/>
    <w:rsid w:val="60F92E43"/>
    <w:rsid w:val="61150751"/>
    <w:rsid w:val="624D667F"/>
    <w:rsid w:val="63946743"/>
    <w:rsid w:val="64711E91"/>
    <w:rsid w:val="64A90E59"/>
    <w:rsid w:val="65354888"/>
    <w:rsid w:val="656172FF"/>
    <w:rsid w:val="67FF543F"/>
    <w:rsid w:val="68031671"/>
    <w:rsid w:val="6810093D"/>
    <w:rsid w:val="691D1ACE"/>
    <w:rsid w:val="69760591"/>
    <w:rsid w:val="698F20C7"/>
    <w:rsid w:val="69A16232"/>
    <w:rsid w:val="6A5503A8"/>
    <w:rsid w:val="6AB76A16"/>
    <w:rsid w:val="6AF358A0"/>
    <w:rsid w:val="6D776294"/>
    <w:rsid w:val="6E646C14"/>
    <w:rsid w:val="6E93787D"/>
    <w:rsid w:val="70222576"/>
    <w:rsid w:val="709B77C5"/>
    <w:rsid w:val="70D83302"/>
    <w:rsid w:val="70E25C28"/>
    <w:rsid w:val="727551CB"/>
    <w:rsid w:val="72FA2769"/>
    <w:rsid w:val="748A1DEB"/>
    <w:rsid w:val="772118DA"/>
    <w:rsid w:val="77A90DAD"/>
    <w:rsid w:val="78D179FB"/>
    <w:rsid w:val="792F30CF"/>
    <w:rsid w:val="795563AF"/>
    <w:rsid w:val="7ACF6E22"/>
    <w:rsid w:val="7BCB1228"/>
    <w:rsid w:val="7C49341C"/>
    <w:rsid w:val="7C7803A6"/>
    <w:rsid w:val="7C7B6A01"/>
    <w:rsid w:val="7CB71976"/>
    <w:rsid w:val="7D4104BF"/>
    <w:rsid w:val="7E84360D"/>
    <w:rsid w:val="7EFF1215"/>
    <w:rsid w:val="7FD300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paragraph" w:customStyle="1" w:styleId="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2021-05-27T01:11:00Z</dcterms:created>
  <dc:creator>Administrator</dc:creator>
  <cp:lastModifiedBy>dgy</cp:lastModifiedBy>
  <dcterms:modified xsi:type="dcterms:W3CDTF">2022-04-06T06:11:50Z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66748667F9434A14998762E8A085D4E3</vt:lpwstr>
  </property>
</Properties>
</file>