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宋体" w:eastAsia="黑体"/>
          <w:sz w:val="32"/>
          <w:szCs w:val="32"/>
        </w:rPr>
      </w:pPr>
      <w:r>
        <w:rPr>
          <w:rFonts w:hint="eastAsia" w:ascii="黑体" w:hAnsi="宋体" w:eastAsia="黑体"/>
          <w:sz w:val="32"/>
          <w:szCs w:val="32"/>
        </w:rPr>
        <w:t>《产品碳足迹 产品种类规则 单机柜数据中心》</w:t>
      </w:r>
      <w:r>
        <w:rPr>
          <w:rFonts w:hint="eastAsia" w:ascii="黑体" w:hAnsi="宋体" w:eastAsia="黑体"/>
          <w:sz w:val="32"/>
          <w:szCs w:val="32"/>
          <w:lang w:val="en-US" w:eastAsia="zh-CN"/>
        </w:rPr>
        <w:t>行业</w:t>
      </w:r>
      <w:r>
        <w:rPr>
          <w:rFonts w:hint="eastAsia" w:ascii="黑体" w:hAnsi="宋体" w:eastAsia="黑体"/>
          <w:sz w:val="32"/>
          <w:szCs w:val="32"/>
        </w:rPr>
        <w:t>标准（</w:t>
      </w:r>
      <w:r>
        <w:rPr>
          <w:rFonts w:hint="eastAsia" w:ascii="黑体" w:hAnsi="宋体" w:eastAsia="黑体"/>
          <w:sz w:val="32"/>
          <w:szCs w:val="32"/>
          <w:lang w:val="en-US" w:eastAsia="zh-CN"/>
        </w:rPr>
        <w:t>征求意见</w:t>
      </w:r>
      <w:r>
        <w:rPr>
          <w:rFonts w:hint="eastAsia" w:ascii="黑体" w:hAnsi="宋体" w:eastAsia="黑体"/>
          <w:sz w:val="32"/>
          <w:szCs w:val="32"/>
        </w:rPr>
        <w:t>稿）编制说明</w:t>
      </w:r>
    </w:p>
    <w:p>
      <w:pPr>
        <w:spacing w:line="360" w:lineRule="auto"/>
        <w:ind w:firstLine="472" w:firstLineChars="196"/>
        <w:rPr>
          <w:rFonts w:hint="eastAsia" w:ascii="宋体" w:hAnsi="宋体"/>
          <w:b/>
          <w:bCs/>
          <w:sz w:val="24"/>
          <w:szCs w:val="24"/>
        </w:rPr>
      </w:pPr>
      <w:r>
        <w:rPr>
          <w:rFonts w:hint="eastAsia" w:ascii="宋体" w:hAnsi="宋体"/>
          <w:b/>
          <w:bCs/>
          <w:sz w:val="24"/>
          <w:szCs w:val="24"/>
        </w:rPr>
        <w:t>一、工作简况</w:t>
      </w:r>
    </w:p>
    <w:p>
      <w:pPr>
        <w:pStyle w:val="9"/>
        <w:spacing w:line="360" w:lineRule="auto"/>
        <w:rPr>
          <w:rFonts w:hint="eastAsia" w:ascii="楷体_GB2312" w:hAnsi="宋体" w:eastAsia="楷体_GB2312"/>
          <w:color w:val="000000"/>
          <w:sz w:val="24"/>
          <w:szCs w:val="24"/>
        </w:rPr>
      </w:pPr>
      <w:r>
        <w:rPr>
          <w:rFonts w:hint="eastAsia" w:ascii="楷体_GB2312" w:hAnsi="宋体" w:eastAsia="楷体_GB2312"/>
          <w:color w:val="000000"/>
          <w:sz w:val="24"/>
          <w:szCs w:val="24"/>
        </w:rPr>
        <w:t>1、任务来源</w:t>
      </w:r>
    </w:p>
    <w:p>
      <w:pPr>
        <w:pStyle w:val="9"/>
        <w:spacing w:line="480" w:lineRule="auto"/>
        <w:rPr>
          <w:rFonts w:hint="default" w:ascii="楷体_GB2312" w:hAnsi="宋体" w:eastAsia="楷体_GB2312"/>
          <w:color w:val="000000"/>
          <w:sz w:val="24"/>
          <w:szCs w:val="24"/>
          <w:lang w:val="en-US" w:eastAsia="zh-CN"/>
        </w:rPr>
      </w:pPr>
      <w:r>
        <w:rPr>
          <w:rFonts w:hint="default" w:ascii="楷体_GB2312" w:hAnsi="宋体" w:eastAsia="楷体_GB2312"/>
          <w:color w:val="000000"/>
          <w:sz w:val="24"/>
          <w:szCs w:val="24"/>
          <w:lang w:val="en-US" w:eastAsia="zh-CN"/>
        </w:rPr>
        <w:t>根据工业和信息化部办公厅关于印发2023年第二批行业标准制修订和外文版项目计划的通知（工信厅科〔2023〕42号）。《产品碳足迹 产品种类规则 单机柜数据中心》为推荐性行业标准，修订定周期为24个月(完成年限为2025年7月)，该标准由中国电子技术标准化研究院归口管理，主要起草单位是中国电子技术标准化研究院。</w:t>
      </w:r>
    </w:p>
    <w:p>
      <w:pPr>
        <w:pStyle w:val="9"/>
        <w:spacing w:line="360" w:lineRule="auto"/>
        <w:ind w:firstLine="422"/>
        <w:jc w:val="center"/>
        <w:rPr>
          <w:rFonts w:hint="eastAsia" w:ascii="楷体_GB2312" w:hAnsi="宋体" w:eastAsia="楷体_GB2312"/>
          <w:b/>
          <w:bCs/>
          <w:color w:val="000000"/>
          <w:szCs w:val="21"/>
        </w:rPr>
      </w:pPr>
      <w:r>
        <w:rPr>
          <w:rFonts w:hint="eastAsia" w:ascii="楷体_GB2312" w:hAnsi="宋体" w:eastAsia="楷体_GB2312"/>
          <w:b/>
          <w:bCs/>
          <w:color w:val="000000"/>
          <w:sz w:val="22"/>
          <w:szCs w:val="22"/>
        </w:rPr>
        <w:t>表1 本次</w:t>
      </w:r>
      <w:r>
        <w:rPr>
          <w:rFonts w:hint="eastAsia" w:ascii="楷体_GB2312" w:hAnsi="宋体" w:eastAsia="楷体_GB2312"/>
          <w:b/>
          <w:bCs/>
          <w:color w:val="000000"/>
          <w:sz w:val="22"/>
          <w:szCs w:val="22"/>
          <w:lang w:val="en-US" w:eastAsia="zh-CN"/>
        </w:rPr>
        <w:t>修订的行业</w:t>
      </w:r>
      <w:r>
        <w:rPr>
          <w:rFonts w:hint="eastAsia" w:ascii="楷体_GB2312" w:hAnsi="宋体" w:eastAsia="楷体_GB2312"/>
          <w:b/>
          <w:bCs/>
          <w:color w:val="000000"/>
          <w:sz w:val="22"/>
          <w:szCs w:val="22"/>
        </w:rPr>
        <w:t>标准</w:t>
      </w:r>
      <w:r>
        <w:rPr>
          <w:rFonts w:hint="eastAsia" w:ascii="楷体_GB2312" w:hAnsi="宋体" w:eastAsia="楷体_GB2312"/>
          <w:b/>
          <w:bCs/>
          <w:color w:val="000000"/>
          <w:sz w:val="22"/>
          <w:szCs w:val="22"/>
          <w:lang w:val="en-US" w:eastAsia="zh-CN"/>
        </w:rPr>
        <w:t>名称</w:t>
      </w:r>
      <w:r>
        <w:rPr>
          <w:rFonts w:hint="eastAsia" w:ascii="楷体_GB2312" w:hAnsi="宋体" w:eastAsia="楷体_GB2312"/>
          <w:b/>
          <w:bCs/>
          <w:color w:val="000000"/>
          <w:sz w:val="22"/>
          <w:szCs w:val="22"/>
        </w:rPr>
        <w:t>及项目编号</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922"/>
        <w:gridCol w:w="5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66" w:type="dxa"/>
            <w:noWrap w:val="0"/>
            <w:vAlign w:val="center"/>
          </w:tcPr>
          <w:p>
            <w:pPr>
              <w:spacing w:line="360" w:lineRule="auto"/>
              <w:jc w:val="center"/>
              <w:rPr>
                <w:rFonts w:hint="eastAsia" w:ascii="仿宋_GB2312" w:hAnsi="宋体" w:eastAsia="仿宋_GB2312"/>
                <w:b/>
                <w:bCs/>
                <w:sz w:val="22"/>
                <w:szCs w:val="22"/>
              </w:rPr>
            </w:pPr>
            <w:r>
              <w:rPr>
                <w:rFonts w:hint="eastAsia" w:ascii="仿宋_GB2312" w:hAnsi="宋体" w:eastAsia="仿宋_GB2312"/>
                <w:b/>
                <w:bCs/>
                <w:sz w:val="22"/>
                <w:szCs w:val="22"/>
              </w:rPr>
              <w:t>序号</w:t>
            </w:r>
          </w:p>
        </w:tc>
        <w:tc>
          <w:tcPr>
            <w:tcW w:w="1922" w:type="dxa"/>
            <w:noWrap w:val="0"/>
            <w:vAlign w:val="center"/>
          </w:tcPr>
          <w:p>
            <w:pPr>
              <w:spacing w:line="360" w:lineRule="auto"/>
              <w:jc w:val="center"/>
              <w:rPr>
                <w:rFonts w:hint="eastAsia" w:ascii="仿宋_GB2312" w:hAnsi="宋体" w:eastAsia="仿宋_GB2312"/>
                <w:b/>
                <w:bCs/>
                <w:sz w:val="22"/>
                <w:szCs w:val="22"/>
              </w:rPr>
            </w:pPr>
            <w:r>
              <w:rPr>
                <w:rFonts w:hint="eastAsia" w:ascii="仿宋_GB2312" w:hAnsi="宋体" w:eastAsia="仿宋_GB2312"/>
                <w:b/>
                <w:bCs/>
                <w:sz w:val="22"/>
                <w:szCs w:val="22"/>
              </w:rPr>
              <w:t>标准项目编号</w:t>
            </w:r>
          </w:p>
        </w:tc>
        <w:tc>
          <w:tcPr>
            <w:tcW w:w="5632" w:type="dxa"/>
            <w:noWrap w:val="0"/>
            <w:vAlign w:val="center"/>
          </w:tcPr>
          <w:p>
            <w:pPr>
              <w:spacing w:line="360" w:lineRule="auto"/>
              <w:jc w:val="center"/>
              <w:rPr>
                <w:rFonts w:hint="eastAsia" w:ascii="仿宋_GB2312" w:hAnsi="宋体" w:eastAsia="仿宋_GB2312"/>
                <w:b/>
                <w:bCs/>
                <w:sz w:val="22"/>
                <w:szCs w:val="22"/>
              </w:rPr>
            </w:pPr>
            <w:r>
              <w:rPr>
                <w:rFonts w:hint="eastAsia" w:ascii="仿宋_GB2312" w:hAnsi="宋体" w:eastAsia="仿宋_GB2312"/>
                <w:b/>
                <w:bCs/>
                <w:sz w:val="22"/>
                <w:szCs w:val="22"/>
              </w:rPr>
              <w:t>国家标准名称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66" w:type="dxa"/>
            <w:noWrap w:val="0"/>
            <w:vAlign w:val="center"/>
          </w:tcPr>
          <w:p>
            <w:pPr>
              <w:numPr>
                <w:ilvl w:val="0"/>
                <w:numId w:val="3"/>
              </w:numPr>
              <w:spacing w:line="360" w:lineRule="auto"/>
              <w:jc w:val="center"/>
              <w:rPr>
                <w:rFonts w:hint="eastAsia" w:ascii="仿宋_GB2312" w:hAnsi="宋体" w:eastAsia="仿宋_GB2312"/>
                <w:sz w:val="21"/>
                <w:szCs w:val="21"/>
              </w:rPr>
            </w:pPr>
          </w:p>
        </w:tc>
        <w:tc>
          <w:tcPr>
            <w:tcW w:w="1922" w:type="dxa"/>
            <w:noWrap w:val="0"/>
            <w:vAlign w:val="center"/>
          </w:tcPr>
          <w:p>
            <w:pPr>
              <w:spacing w:line="360" w:lineRule="auto"/>
              <w:jc w:val="center"/>
              <w:rPr>
                <w:rFonts w:hint="eastAsia" w:ascii="楷体_GB2312" w:hAnsi="宋体" w:eastAsia="楷体_GB2312"/>
                <w:color w:val="000000"/>
                <w:kern w:val="0"/>
                <w:sz w:val="24"/>
                <w:szCs w:val="24"/>
              </w:rPr>
            </w:pPr>
            <w:r>
              <w:rPr>
                <w:rFonts w:hint="eastAsia" w:ascii="楷体_GB2312" w:hAnsi="宋体" w:eastAsia="楷体_GB2312"/>
                <w:color w:val="000000"/>
                <w:kern w:val="0"/>
                <w:sz w:val="24"/>
                <w:szCs w:val="24"/>
              </w:rPr>
              <w:t>2023-0918T-SJ</w:t>
            </w:r>
          </w:p>
        </w:tc>
        <w:tc>
          <w:tcPr>
            <w:tcW w:w="5632" w:type="dxa"/>
            <w:noWrap w:val="0"/>
            <w:vAlign w:val="center"/>
          </w:tcPr>
          <w:p>
            <w:pPr>
              <w:spacing w:line="360" w:lineRule="auto"/>
              <w:jc w:val="center"/>
              <w:rPr>
                <w:rFonts w:hint="default" w:ascii="楷体_GB2312" w:hAnsi="宋体" w:eastAsia="楷体_GB2312"/>
                <w:color w:val="000000"/>
                <w:kern w:val="0"/>
                <w:sz w:val="24"/>
                <w:szCs w:val="24"/>
                <w:lang w:val="en-US"/>
              </w:rPr>
            </w:pPr>
            <w:r>
              <w:rPr>
                <w:rFonts w:hint="default" w:ascii="楷体_GB2312" w:hAnsi="宋体" w:eastAsia="楷体_GB2312"/>
                <w:color w:val="000000"/>
                <w:kern w:val="0"/>
                <w:sz w:val="24"/>
                <w:szCs w:val="24"/>
                <w:lang w:val="en-US"/>
              </w:rPr>
              <w:t>产品碳足迹 产品种类规则 单机柜数据中心</w:t>
            </w:r>
          </w:p>
        </w:tc>
      </w:tr>
    </w:tbl>
    <w:p>
      <w:pPr>
        <w:pStyle w:val="9"/>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firstLine="480" w:firstLineChars="200"/>
        <w:textAlignment w:val="auto"/>
        <w:rPr>
          <w:rFonts w:hint="eastAsia" w:ascii="楷体_GB2312" w:hAnsi="宋体" w:eastAsia="楷体_GB2312"/>
          <w:color w:val="000000"/>
          <w:sz w:val="24"/>
          <w:szCs w:val="24"/>
        </w:rPr>
      </w:pPr>
      <w:r>
        <w:rPr>
          <w:rFonts w:hint="eastAsia" w:ascii="楷体_GB2312" w:hAnsi="宋体" w:eastAsia="楷体_GB2312"/>
          <w:color w:val="000000"/>
          <w:sz w:val="24"/>
          <w:szCs w:val="24"/>
          <w:lang w:val="en-US" w:eastAsia="zh-CN"/>
        </w:rPr>
        <w:t>2、修订的目的和意义</w:t>
      </w:r>
    </w:p>
    <w:p>
      <w:pPr>
        <w:pStyle w:val="9"/>
        <w:spacing w:line="480" w:lineRule="auto"/>
        <w:rPr>
          <w:rFonts w:hint="eastAsia" w:ascii="楷体_GB2312" w:hAnsi="宋体" w:eastAsia="楷体_GB2312"/>
          <w:color w:val="000000"/>
          <w:sz w:val="24"/>
          <w:szCs w:val="24"/>
          <w:lang w:val="en-US" w:eastAsia="zh-CN"/>
        </w:rPr>
      </w:pPr>
      <w:r>
        <w:rPr>
          <w:rFonts w:hint="eastAsia" w:ascii="楷体_GB2312" w:hAnsi="宋体" w:eastAsia="楷体_GB2312"/>
          <w:color w:val="000000"/>
          <w:sz w:val="24"/>
          <w:szCs w:val="24"/>
          <w:lang w:val="en-US" w:eastAsia="zh-CN"/>
        </w:rPr>
        <w:t>习近平总书记在第七十五届联合国大会一般性辩论上的讲话中指出，中国宣布将提高“国家自主贡献”力度，力争 2030 年前二氧化碳排放达到峰值，努力争取2060年前实现碳中和。碳达峰碳中和目标愿景为中国经济社会发展全面绿色转型指明了方向，为全球应对气候变化共同行动贡献了关键力量。《中华人民共和国国民经济和社会发展第十四个五年规划和 2035 年远景目标纲要》强调“全面提高资源利用效率；落实 2030 年应对气候变化国家自主贡献目标，锚定努力争取2060 年前实现碳中和”。国务院印发的《关于加快建立健全绿色低碳循环发展经济体系的指导意见》提出“建立健全绿色低碳循环发展的经济体系，确保实现碳达峰、碳中和”。实现碳达峰碳中和，大幅降低温室气体排放，不仅要加快实现能源利用结构优化和能效提升，还要促进经济社会发展的全面绿色转型，全面提高资源利用效率。</w:t>
      </w:r>
    </w:p>
    <w:p>
      <w:pPr>
        <w:pStyle w:val="9"/>
        <w:spacing w:line="480" w:lineRule="auto"/>
        <w:rPr>
          <w:rFonts w:hint="eastAsia" w:ascii="楷体_GB2312" w:hAnsi="宋体" w:eastAsia="楷体_GB2312"/>
          <w:color w:val="000000"/>
          <w:sz w:val="24"/>
          <w:szCs w:val="24"/>
          <w:lang w:val="en-US" w:eastAsia="zh-CN"/>
        </w:rPr>
      </w:pPr>
      <w:r>
        <w:rPr>
          <w:rFonts w:hint="eastAsia" w:ascii="楷体_GB2312" w:hAnsi="宋体" w:eastAsia="楷体_GB2312"/>
          <w:color w:val="000000"/>
          <w:sz w:val="24"/>
          <w:szCs w:val="24"/>
          <w:lang w:val="en-US" w:eastAsia="zh-CN"/>
        </w:rPr>
        <w:t>单机柜数据中心是现成处理业务的小型数据中心的主要实现方式，单机柜数据中心是指安装在建筑内，由机柜系统、制冷系统、供配电系统、监控管理系统等模块化设计的功能模块组成，为电子信息系统提供服务的小微型数据中心。开展单机柜数据中心产品碳足迹产品种类规则标准的编制对实现双碳目标有积极的意义。</w:t>
      </w:r>
    </w:p>
    <w:p>
      <w:pPr>
        <w:pStyle w:val="9"/>
        <w:spacing w:line="480" w:lineRule="auto"/>
        <w:rPr>
          <w:rFonts w:hint="eastAsia" w:ascii="楷体_GB2312" w:hAnsi="宋体" w:eastAsia="楷体_GB2312"/>
          <w:color w:val="000000"/>
          <w:sz w:val="24"/>
          <w:szCs w:val="24"/>
          <w:lang w:val="en-US" w:eastAsia="zh-CN"/>
        </w:rPr>
      </w:pPr>
      <w:r>
        <w:rPr>
          <w:rFonts w:hint="eastAsia" w:ascii="楷体_GB2312" w:hAnsi="宋体" w:eastAsia="楷体_GB2312"/>
          <w:color w:val="000000"/>
          <w:sz w:val="24"/>
          <w:szCs w:val="24"/>
          <w:lang w:val="en-US" w:eastAsia="zh-CN"/>
        </w:rPr>
        <w:t>产品碳足迹评价是基于生命周期评价的方法对于一个产品系统温室气体排放和吸收的汇总，以二氧化碳当量这种形式来表述。该评价方法既可以帮助个人和组织评估其对温室气体环境因素的影响，为环境报告提供有效信息，可以作为企业社会责任的一种量化指标体现。相关企业可根据确定的产品碳足迹减少企业碳排放行为，并采取可行的措施来控制和减少碳排放，提高声誉并强化品牌，改善内部运营，节能减排，获得竞争优势。此外产品碳足迹评价也是引导消费者环保行为的有效标识，引导消费决策。因此产品碳足迹评价成为引领绿色消费的利剑，具有重要的现实意义和深远的历史意义。</w:t>
      </w:r>
    </w:p>
    <w:p>
      <w:pPr>
        <w:pStyle w:val="9"/>
        <w:spacing w:line="480" w:lineRule="auto"/>
        <w:rPr>
          <w:rFonts w:hint="eastAsia" w:ascii="楷体_GB2312" w:hAnsi="宋体" w:eastAsia="楷体_GB2312"/>
          <w:color w:val="000000"/>
          <w:sz w:val="24"/>
          <w:szCs w:val="24"/>
          <w:lang w:val="en-US" w:eastAsia="zh-CN"/>
        </w:rPr>
      </w:pPr>
      <w:r>
        <w:rPr>
          <w:rFonts w:hint="eastAsia" w:ascii="楷体_GB2312" w:hAnsi="宋体" w:eastAsia="楷体_GB2312"/>
          <w:color w:val="000000"/>
          <w:sz w:val="24"/>
          <w:szCs w:val="24"/>
          <w:lang w:val="en-US" w:eastAsia="zh-CN"/>
        </w:rPr>
        <w:t>单机柜数据中心碳足迹评价以生命周期评价方法为基础可以综合分析单机柜数据中心产品在整个生命周期过程中的温室气体相关环境负荷现状，制定单机柜数据中心碳足迹规则可以规范单机柜数据中心产品碳足迹评价统一的基本规则和要求，为支撑单机柜数据中心产品的生态设计、绿色选材以及绿色数据中心等相关认证工作提供可操作性的方法。</w:t>
      </w:r>
    </w:p>
    <w:p>
      <w:pPr>
        <w:pStyle w:val="9"/>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firstLine="480" w:firstLineChars="200"/>
        <w:textAlignment w:val="auto"/>
        <w:rPr>
          <w:rFonts w:hint="eastAsia" w:ascii="楷体_GB2312" w:hAnsi="宋体" w:eastAsia="楷体_GB2312"/>
          <w:color w:val="000000"/>
          <w:sz w:val="24"/>
          <w:szCs w:val="24"/>
        </w:rPr>
      </w:pPr>
      <w:r>
        <w:rPr>
          <w:rFonts w:hint="eastAsia" w:ascii="楷体_GB2312" w:hAnsi="宋体" w:eastAsia="楷体_GB2312"/>
          <w:color w:val="000000"/>
          <w:sz w:val="24"/>
          <w:szCs w:val="24"/>
          <w:lang w:val="en-US" w:eastAsia="zh-CN"/>
        </w:rPr>
        <w:t>3、</w:t>
      </w:r>
      <w:r>
        <w:rPr>
          <w:rFonts w:hint="eastAsia" w:ascii="楷体_GB2312" w:hAnsi="宋体" w:eastAsia="楷体_GB2312"/>
          <w:color w:val="000000"/>
          <w:sz w:val="24"/>
          <w:szCs w:val="24"/>
        </w:rPr>
        <w:t>主要工作过程</w:t>
      </w:r>
    </w:p>
    <w:p>
      <w:pPr>
        <w:spacing w:line="480" w:lineRule="auto"/>
        <w:ind w:firstLine="480" w:firstLineChars="200"/>
        <w:rPr>
          <w:rFonts w:hint="eastAsia" w:ascii="楷体_GB2312" w:hAnsi="宋体" w:eastAsia="楷体_GB2312"/>
          <w:color w:val="000000"/>
          <w:kern w:val="0"/>
          <w:sz w:val="24"/>
          <w:szCs w:val="24"/>
        </w:rPr>
      </w:pPr>
      <w:r>
        <w:rPr>
          <w:rFonts w:hint="eastAsia" w:ascii="楷体_GB2312" w:hAnsi="宋体" w:eastAsia="楷体_GB2312"/>
          <w:color w:val="000000"/>
          <w:kern w:val="0"/>
          <w:sz w:val="24"/>
          <w:szCs w:val="24"/>
        </w:rPr>
        <w:t>本标准制定主要过程如下：</w:t>
      </w:r>
    </w:p>
    <w:p>
      <w:pPr>
        <w:spacing w:line="480" w:lineRule="auto"/>
        <w:ind w:firstLine="480" w:firstLineChars="200"/>
        <w:rPr>
          <w:rFonts w:hint="eastAsia" w:ascii="楷体_GB2312" w:hAnsi="宋体" w:eastAsia="楷体_GB2312" w:cs="Times New Roman"/>
          <w:color w:val="000000"/>
          <w:kern w:val="0"/>
          <w:sz w:val="24"/>
          <w:szCs w:val="24"/>
          <w:lang w:val="en-US" w:eastAsia="zh-CN" w:bidi="ar-SA"/>
        </w:rPr>
      </w:pPr>
      <w:r>
        <w:rPr>
          <w:rFonts w:hint="eastAsia" w:ascii="楷体_GB2312" w:hAnsi="宋体" w:eastAsia="楷体_GB2312" w:cs="Times New Roman"/>
          <w:color w:val="000000"/>
          <w:kern w:val="0"/>
          <w:sz w:val="24"/>
          <w:szCs w:val="24"/>
          <w:lang w:val="en-US" w:eastAsia="zh-CN" w:bidi="ar-SA"/>
        </w:rPr>
        <w:t>（1）2023年8月29日，中国电子技术标准化研究院组织联络相关数据中心企业，组成标准编制组；</w:t>
      </w:r>
    </w:p>
    <w:p>
      <w:pPr>
        <w:spacing w:line="480" w:lineRule="auto"/>
        <w:ind w:firstLine="480" w:firstLineChars="200"/>
        <w:rPr>
          <w:rFonts w:hint="eastAsia" w:ascii="楷体_GB2312" w:hAnsi="宋体" w:eastAsia="楷体_GB2312" w:cs="Times New Roman"/>
          <w:color w:val="000000"/>
          <w:kern w:val="0"/>
          <w:sz w:val="24"/>
          <w:szCs w:val="24"/>
          <w:lang w:val="en-US" w:eastAsia="zh-CN" w:bidi="ar-SA"/>
        </w:rPr>
      </w:pPr>
      <w:r>
        <w:rPr>
          <w:rFonts w:hint="eastAsia" w:ascii="楷体_GB2312" w:hAnsi="宋体" w:eastAsia="楷体_GB2312" w:cs="Times New Roman"/>
          <w:color w:val="000000"/>
          <w:kern w:val="0"/>
          <w:sz w:val="24"/>
          <w:szCs w:val="24"/>
          <w:lang w:val="en-US" w:eastAsia="zh-CN" w:bidi="ar-SA"/>
        </w:rPr>
        <w:t>（2）2023年9月19日，中国电子技术标准化研究院组织参编单位完成标准草案；</w:t>
      </w:r>
    </w:p>
    <w:p>
      <w:pPr>
        <w:spacing w:line="480" w:lineRule="auto"/>
        <w:ind w:firstLine="480" w:firstLineChars="200"/>
        <w:rPr>
          <w:rFonts w:hint="eastAsia" w:ascii="楷体_GB2312" w:hAnsi="宋体" w:eastAsia="楷体_GB2312" w:cs="Times New Roman"/>
          <w:color w:val="000000"/>
          <w:kern w:val="0"/>
          <w:sz w:val="24"/>
          <w:szCs w:val="24"/>
          <w:lang w:val="en-US" w:eastAsia="zh-CN" w:bidi="ar-SA"/>
        </w:rPr>
      </w:pPr>
      <w:r>
        <w:rPr>
          <w:rFonts w:hint="eastAsia" w:ascii="楷体_GB2312" w:hAnsi="宋体" w:eastAsia="楷体_GB2312" w:cs="Times New Roman"/>
          <w:color w:val="000000"/>
          <w:kern w:val="0"/>
          <w:sz w:val="24"/>
          <w:szCs w:val="24"/>
          <w:lang w:val="en-US" w:eastAsia="zh-CN" w:bidi="ar-SA"/>
        </w:rPr>
        <w:t>（3）2023年10月19日，牵头单位中国电子技术标准化研究院组织召开标准启动会，起草单位及高校专家对标准文本进行激烈讨论，并对标准草案进行了相关修改；</w:t>
      </w:r>
    </w:p>
    <w:p>
      <w:pPr>
        <w:spacing w:line="480" w:lineRule="auto"/>
        <w:ind w:firstLine="480" w:firstLineChars="200"/>
        <w:rPr>
          <w:rFonts w:hint="eastAsia" w:ascii="楷体_GB2312" w:hAnsi="宋体" w:eastAsia="楷体_GB2312" w:cs="Times New Roman"/>
          <w:color w:val="000000"/>
          <w:kern w:val="0"/>
          <w:sz w:val="24"/>
          <w:szCs w:val="24"/>
          <w:lang w:val="en-US" w:eastAsia="zh-CN" w:bidi="ar-SA"/>
        </w:rPr>
      </w:pPr>
      <w:r>
        <w:rPr>
          <w:rFonts w:hint="eastAsia" w:ascii="楷体_GB2312" w:hAnsi="宋体" w:eastAsia="楷体_GB2312" w:cs="Times New Roman"/>
          <w:color w:val="000000"/>
          <w:kern w:val="0"/>
          <w:sz w:val="24"/>
          <w:szCs w:val="24"/>
          <w:lang w:val="en-US" w:eastAsia="zh-CN" w:bidi="ar-SA"/>
        </w:rPr>
        <w:t>（4）2024年1月2日，牵头单位中国电子技术标准化研究院修改完善标准草案，并进一步在起草组内部征集修改意见。</w:t>
      </w:r>
    </w:p>
    <w:p>
      <w:pPr>
        <w:spacing w:line="480" w:lineRule="auto"/>
        <w:ind w:firstLine="480" w:firstLineChars="200"/>
        <w:rPr>
          <w:rFonts w:hint="default" w:ascii="楷体_GB2312" w:hAnsi="宋体" w:eastAsia="楷体_GB2312" w:cs="Times New Roman"/>
          <w:color w:val="000000"/>
          <w:kern w:val="0"/>
          <w:sz w:val="24"/>
          <w:szCs w:val="24"/>
          <w:lang w:val="en-US" w:eastAsia="zh-CN" w:bidi="ar-SA"/>
        </w:rPr>
      </w:pPr>
      <w:r>
        <w:rPr>
          <w:rFonts w:hint="eastAsia" w:ascii="楷体_GB2312" w:hAnsi="宋体" w:eastAsia="楷体_GB2312" w:cs="Times New Roman"/>
          <w:color w:val="000000"/>
          <w:kern w:val="0"/>
          <w:sz w:val="24"/>
          <w:szCs w:val="24"/>
          <w:lang w:val="en-US" w:eastAsia="zh-CN" w:bidi="ar-SA"/>
        </w:rPr>
        <w:t>（5）2024年5月16日，经数月修改，标准编制组形成征求意见稿。</w:t>
      </w:r>
    </w:p>
    <w:p>
      <w:pPr>
        <w:pStyle w:val="9"/>
        <w:keepNext w:val="0"/>
        <w:keepLines w:val="0"/>
        <w:pageBreakBefore w:val="0"/>
        <w:widowControl/>
        <w:numPr>
          <w:ilvl w:val="0"/>
          <w:numId w:val="0"/>
        </w:numPr>
        <w:kinsoku/>
        <w:wordWrap/>
        <w:overflowPunct/>
        <w:topLinePunct w:val="0"/>
        <w:autoSpaceDE w:val="0"/>
        <w:autoSpaceDN w:val="0"/>
        <w:bidi w:val="0"/>
        <w:adjustRightInd/>
        <w:snapToGrid/>
        <w:spacing w:line="480" w:lineRule="auto"/>
        <w:ind w:firstLine="480" w:firstLineChars="200"/>
        <w:textAlignment w:val="auto"/>
        <w:rPr>
          <w:rFonts w:hint="eastAsia" w:ascii="楷体_GB2312" w:hAnsi="宋体" w:eastAsia="楷体_GB2312"/>
          <w:color w:val="000000"/>
          <w:sz w:val="24"/>
          <w:szCs w:val="24"/>
        </w:rPr>
      </w:pPr>
      <w:r>
        <w:rPr>
          <w:rFonts w:hint="eastAsia" w:ascii="楷体_GB2312" w:hAnsi="宋体" w:eastAsia="楷体_GB2312"/>
          <w:color w:val="000000"/>
          <w:sz w:val="24"/>
          <w:szCs w:val="24"/>
          <w:lang w:val="en-US" w:eastAsia="zh-CN"/>
        </w:rPr>
        <w:t>4、</w:t>
      </w:r>
      <w:r>
        <w:rPr>
          <w:rFonts w:hint="eastAsia" w:ascii="楷体_GB2312" w:hAnsi="宋体" w:eastAsia="楷体_GB2312"/>
          <w:color w:val="000000"/>
          <w:sz w:val="24"/>
          <w:szCs w:val="24"/>
        </w:rPr>
        <w:t>标准编制的主要成员单位及其所做的工作</w:t>
      </w:r>
    </w:p>
    <w:p>
      <w:pPr>
        <w:spacing w:line="480" w:lineRule="auto"/>
        <w:ind w:left="210" w:leftChars="100" w:firstLine="480" w:firstLineChars="200"/>
        <w:rPr>
          <w:rFonts w:hint="eastAsia" w:ascii="楷体_GB2312" w:hAnsi="宋体" w:eastAsia="楷体_GB2312" w:cs="Times New Roman"/>
          <w:color w:val="000000"/>
          <w:kern w:val="0"/>
          <w:sz w:val="24"/>
          <w:szCs w:val="24"/>
          <w:lang w:val="en-US" w:eastAsia="zh-CN" w:bidi="ar-SA"/>
        </w:rPr>
      </w:pPr>
      <w:r>
        <w:rPr>
          <w:rFonts w:hint="eastAsia" w:ascii="楷体_GB2312" w:hAnsi="宋体" w:eastAsia="楷体_GB2312" w:cs="Times New Roman"/>
          <w:color w:val="000000"/>
          <w:kern w:val="0"/>
          <w:sz w:val="24"/>
          <w:szCs w:val="24"/>
          <w:lang w:val="en-US" w:eastAsia="zh-CN" w:bidi="ar-SA"/>
        </w:rPr>
        <w:t>本标准由中国电子技术标准化研究院负责牵头制定。同时也增加了当前参与标准应用实践、对标准有着深刻理解的一线专家。主要组成如下：</w:t>
      </w:r>
    </w:p>
    <w:p>
      <w:pPr>
        <w:spacing w:line="480" w:lineRule="auto"/>
        <w:ind w:left="210" w:leftChars="100" w:firstLine="480" w:firstLineChars="200"/>
        <w:rPr>
          <w:rFonts w:hint="eastAsia" w:ascii="楷体_GB2312" w:hAnsi="宋体" w:eastAsia="楷体_GB2312" w:cs="Times New Roman"/>
          <w:color w:val="000000"/>
          <w:kern w:val="0"/>
          <w:sz w:val="24"/>
          <w:szCs w:val="24"/>
          <w:lang w:val="en-US" w:eastAsia="zh-CN" w:bidi="ar-SA"/>
        </w:rPr>
      </w:pPr>
      <w:r>
        <w:rPr>
          <w:rFonts w:hint="eastAsia" w:ascii="楷体_GB2312" w:hAnsi="宋体" w:eastAsia="楷体_GB2312" w:cs="Times New Roman"/>
          <w:color w:val="000000"/>
          <w:kern w:val="0"/>
          <w:sz w:val="24"/>
          <w:szCs w:val="24"/>
          <w:lang w:val="en-US" w:eastAsia="zh-CN" w:bidi="ar-SA"/>
        </w:rPr>
        <w:t>（1）科研院所；</w:t>
      </w:r>
    </w:p>
    <w:p>
      <w:pPr>
        <w:spacing w:line="480" w:lineRule="auto"/>
        <w:ind w:left="210" w:leftChars="100" w:firstLine="480" w:firstLineChars="200"/>
        <w:rPr>
          <w:rFonts w:hint="eastAsia" w:ascii="楷体_GB2312" w:hAnsi="宋体" w:eastAsia="楷体_GB2312" w:cs="Times New Roman"/>
          <w:color w:val="000000"/>
          <w:kern w:val="0"/>
          <w:sz w:val="24"/>
          <w:szCs w:val="24"/>
          <w:lang w:val="en-US" w:eastAsia="zh-CN" w:bidi="ar-SA"/>
        </w:rPr>
      </w:pPr>
      <w:r>
        <w:rPr>
          <w:rFonts w:hint="eastAsia" w:ascii="楷体_GB2312" w:hAnsi="宋体" w:eastAsia="楷体_GB2312" w:cs="Times New Roman"/>
          <w:color w:val="000000"/>
          <w:kern w:val="0"/>
          <w:sz w:val="24"/>
          <w:szCs w:val="24"/>
          <w:lang w:val="en-US" w:eastAsia="zh-CN" w:bidi="ar-SA"/>
        </w:rPr>
        <w:t>（2）数据中心应用厂商；</w:t>
      </w:r>
    </w:p>
    <w:p>
      <w:pPr>
        <w:spacing w:line="480" w:lineRule="auto"/>
        <w:ind w:left="210" w:leftChars="100" w:firstLine="480" w:firstLineChars="200"/>
        <w:rPr>
          <w:rFonts w:hint="eastAsia" w:ascii="楷体_GB2312" w:hAnsi="宋体" w:eastAsia="楷体_GB2312" w:cs="Times New Roman"/>
          <w:color w:val="000000"/>
          <w:kern w:val="0"/>
          <w:sz w:val="24"/>
          <w:szCs w:val="24"/>
          <w:lang w:val="en-US" w:eastAsia="zh-CN" w:bidi="ar-SA"/>
        </w:rPr>
      </w:pPr>
      <w:r>
        <w:rPr>
          <w:rFonts w:hint="eastAsia" w:ascii="楷体_GB2312" w:hAnsi="宋体" w:eastAsia="楷体_GB2312" w:cs="Times New Roman"/>
          <w:color w:val="000000"/>
          <w:kern w:val="0"/>
          <w:sz w:val="24"/>
          <w:szCs w:val="24"/>
          <w:lang w:val="en-US" w:eastAsia="zh-CN" w:bidi="ar-SA"/>
        </w:rPr>
        <w:t>（3）数据中心生产厂商。</w:t>
      </w:r>
    </w:p>
    <w:p>
      <w:pPr>
        <w:pStyle w:val="9"/>
        <w:spacing w:line="480" w:lineRule="auto"/>
        <w:ind w:firstLine="0" w:firstLineChars="0"/>
        <w:rPr>
          <w:rFonts w:hint="eastAsia"/>
          <w:b/>
          <w:color w:val="000000"/>
          <w:sz w:val="24"/>
          <w:szCs w:val="24"/>
        </w:rPr>
      </w:pPr>
      <w:r>
        <w:rPr>
          <w:rFonts w:hint="eastAsia"/>
          <w:b/>
          <w:sz w:val="24"/>
          <w:szCs w:val="24"/>
        </w:rPr>
        <w:t>二、</w:t>
      </w:r>
      <w:r>
        <w:rPr>
          <w:rFonts w:hint="eastAsia"/>
          <w:b/>
          <w:color w:val="000000"/>
          <w:sz w:val="24"/>
          <w:szCs w:val="24"/>
        </w:rPr>
        <w:t>标准编制原则和确定主要内容的论据及解决的主要问题</w:t>
      </w:r>
    </w:p>
    <w:p>
      <w:pPr>
        <w:pStyle w:val="9"/>
        <w:spacing w:line="480" w:lineRule="auto"/>
        <w:rPr>
          <w:rFonts w:hint="eastAsia" w:ascii="楷体_GB2312" w:hAnsi="宋体" w:eastAsia="楷体_GB2312"/>
          <w:color w:val="000000"/>
          <w:sz w:val="24"/>
          <w:szCs w:val="24"/>
        </w:rPr>
      </w:pPr>
      <w:r>
        <w:rPr>
          <w:rFonts w:hint="eastAsia" w:ascii="楷体_GB2312" w:hAnsi="宋体" w:eastAsia="楷体_GB2312"/>
          <w:color w:val="000000"/>
          <w:sz w:val="24"/>
          <w:szCs w:val="24"/>
        </w:rPr>
        <w:t>1、编制原则</w:t>
      </w:r>
    </w:p>
    <w:p>
      <w:pPr>
        <w:pStyle w:val="9"/>
        <w:spacing w:line="480" w:lineRule="auto"/>
        <w:rPr>
          <w:rFonts w:hint="eastAsia" w:ascii="楷体_GB2312" w:hAnsi="宋体" w:eastAsia="楷体_GB2312"/>
          <w:color w:val="000000"/>
          <w:sz w:val="24"/>
          <w:szCs w:val="24"/>
          <w:lang w:val="en-US" w:eastAsia="zh-CN"/>
        </w:rPr>
      </w:pPr>
      <w:r>
        <w:rPr>
          <w:rFonts w:hint="eastAsia" w:ascii="楷体_GB2312" w:hAnsi="宋体" w:eastAsia="楷体_GB2312"/>
          <w:color w:val="000000"/>
          <w:sz w:val="24"/>
          <w:szCs w:val="24"/>
        </w:rPr>
        <w:t>该项标准按照GB/T 1.1-2020《标准化工作导则 第1部分：标准化文件的结构和起草规则》</w:t>
      </w:r>
      <w:r>
        <w:rPr>
          <w:rFonts w:hint="eastAsia" w:ascii="楷体_GB2312" w:hAnsi="宋体" w:eastAsia="楷体_GB2312"/>
          <w:color w:val="000000"/>
          <w:sz w:val="24"/>
          <w:szCs w:val="24"/>
          <w:lang w:val="en-US" w:eastAsia="zh-CN"/>
        </w:rPr>
        <w:t>的规定起草。</w:t>
      </w:r>
    </w:p>
    <w:p>
      <w:pPr>
        <w:pStyle w:val="9"/>
        <w:spacing w:line="480" w:lineRule="auto"/>
        <w:rPr>
          <w:rFonts w:hint="default" w:ascii="楷体_GB2312" w:hAnsi="宋体" w:eastAsia="楷体_GB2312"/>
          <w:color w:val="000000"/>
          <w:sz w:val="24"/>
          <w:szCs w:val="24"/>
          <w:lang w:val="en-US" w:eastAsia="zh-CN"/>
        </w:rPr>
      </w:pPr>
      <w:r>
        <w:rPr>
          <w:rFonts w:hint="default" w:ascii="楷体_GB2312" w:hAnsi="宋体" w:eastAsia="楷体_GB2312"/>
          <w:color w:val="000000"/>
          <w:sz w:val="24"/>
          <w:szCs w:val="24"/>
          <w:lang w:val="en-US" w:eastAsia="zh-CN"/>
        </w:rPr>
        <w:t>本文件编制遵循“科学性、实用性、统一性、规范性”的原则。</w:t>
      </w:r>
    </w:p>
    <w:p>
      <w:pPr>
        <w:pStyle w:val="9"/>
        <w:spacing w:line="480" w:lineRule="auto"/>
        <w:rPr>
          <w:rFonts w:hint="default" w:ascii="楷体_GB2312" w:hAnsi="宋体" w:eastAsia="楷体_GB2312"/>
          <w:color w:val="000000"/>
          <w:sz w:val="24"/>
          <w:szCs w:val="24"/>
          <w:lang w:val="en-US" w:eastAsia="zh-CN"/>
        </w:rPr>
      </w:pPr>
      <w:r>
        <w:rPr>
          <w:rFonts w:hint="default" w:ascii="楷体_GB2312" w:hAnsi="宋体" w:eastAsia="楷体_GB2312"/>
          <w:color w:val="000000"/>
          <w:sz w:val="24"/>
          <w:szCs w:val="24"/>
          <w:lang w:val="en-US" w:eastAsia="zh-CN"/>
        </w:rPr>
        <w:t>本文件按照</w:t>
      </w:r>
      <w:r>
        <w:rPr>
          <w:rFonts w:hint="eastAsia" w:ascii="楷体_GB2312" w:hAnsi="宋体" w:eastAsia="楷体_GB2312"/>
          <w:color w:val="000000"/>
          <w:sz w:val="24"/>
          <w:szCs w:val="24"/>
          <w:lang w:val="en-US" w:eastAsia="zh-CN"/>
        </w:rPr>
        <w:t>中国电子技术标准化研究院</w:t>
      </w:r>
      <w:r>
        <w:rPr>
          <w:rFonts w:hint="default" w:ascii="楷体_GB2312" w:hAnsi="宋体" w:eastAsia="楷体_GB2312"/>
          <w:color w:val="000000"/>
          <w:sz w:val="24"/>
          <w:szCs w:val="24"/>
          <w:lang w:val="en-US" w:eastAsia="zh-CN"/>
        </w:rPr>
        <w:t>标准制修订工作程序的要求开展工作。</w:t>
      </w:r>
    </w:p>
    <w:p>
      <w:pPr>
        <w:pStyle w:val="9"/>
        <w:spacing w:line="480" w:lineRule="auto"/>
        <w:rPr>
          <w:rFonts w:hint="default" w:ascii="楷体_GB2312" w:hAnsi="宋体" w:eastAsia="楷体_GB2312"/>
          <w:color w:val="000000"/>
          <w:sz w:val="24"/>
          <w:szCs w:val="24"/>
          <w:lang w:val="en-US" w:eastAsia="zh-CN"/>
        </w:rPr>
      </w:pPr>
      <w:r>
        <w:rPr>
          <w:rFonts w:hint="default" w:ascii="楷体_GB2312" w:hAnsi="宋体" w:eastAsia="楷体_GB2312"/>
          <w:color w:val="000000"/>
          <w:sz w:val="24"/>
          <w:szCs w:val="24"/>
          <w:lang w:val="en-US" w:eastAsia="zh-CN"/>
        </w:rPr>
        <w:t>本文件编制过程中，充分考虑标准内容与国际标准的一致性以及与已经发布的国家行业标准的协调关系。</w:t>
      </w:r>
    </w:p>
    <w:p>
      <w:pPr>
        <w:pStyle w:val="9"/>
        <w:numPr>
          <w:ilvl w:val="0"/>
          <w:numId w:val="4"/>
        </w:numPr>
        <w:spacing w:line="480" w:lineRule="auto"/>
        <w:rPr>
          <w:rFonts w:hint="eastAsia" w:ascii="楷体_GB2312" w:hAnsi="宋体" w:eastAsia="楷体_GB2312"/>
          <w:color w:val="000000"/>
          <w:sz w:val="24"/>
          <w:szCs w:val="24"/>
        </w:rPr>
      </w:pPr>
      <w:r>
        <w:rPr>
          <w:rFonts w:hint="eastAsia" w:ascii="楷体_GB2312" w:hAnsi="宋体" w:eastAsia="楷体_GB2312"/>
          <w:color w:val="000000"/>
          <w:sz w:val="24"/>
          <w:szCs w:val="24"/>
        </w:rPr>
        <w:t>标准</w:t>
      </w:r>
      <w:r>
        <w:rPr>
          <w:rFonts w:hint="eastAsia" w:ascii="楷体_GB2312" w:hAnsi="宋体" w:eastAsia="楷体_GB2312"/>
          <w:color w:val="000000"/>
          <w:sz w:val="24"/>
          <w:szCs w:val="24"/>
          <w:lang w:val="en-US" w:eastAsia="zh-CN"/>
        </w:rPr>
        <w:t>制定的</w:t>
      </w:r>
      <w:r>
        <w:rPr>
          <w:rFonts w:hint="eastAsia" w:ascii="楷体_GB2312" w:hAnsi="宋体" w:eastAsia="楷体_GB2312"/>
          <w:color w:val="000000"/>
          <w:sz w:val="24"/>
          <w:szCs w:val="24"/>
        </w:rPr>
        <w:t>主要内容</w:t>
      </w:r>
    </w:p>
    <w:p>
      <w:pPr>
        <w:pStyle w:val="9"/>
        <w:numPr>
          <w:ilvl w:val="0"/>
          <w:numId w:val="5"/>
        </w:numPr>
        <w:spacing w:line="480" w:lineRule="auto"/>
        <w:rPr>
          <w:rFonts w:hint="eastAsia" w:ascii="楷体_GB2312" w:hAnsi="宋体" w:eastAsia="楷体_GB2312"/>
          <w:color w:val="000000"/>
          <w:sz w:val="24"/>
          <w:szCs w:val="24"/>
        </w:rPr>
      </w:pPr>
      <w:r>
        <w:rPr>
          <w:rFonts w:hint="eastAsia" w:ascii="楷体_GB2312" w:hAnsi="宋体" w:eastAsia="楷体_GB2312"/>
          <w:color w:val="000000"/>
          <w:sz w:val="24"/>
          <w:szCs w:val="24"/>
          <w:lang w:val="en-US" w:eastAsia="zh-CN"/>
        </w:rPr>
        <w:t>本文件规定了单机柜数据中心产品碳足迹相关的术语和定义、目的和范围、碳足迹生命周期清单分析、碳足迹影响评价、可比性、碳足迹绩效追踪以及碳足迹评价报告等内容。</w:t>
      </w:r>
    </w:p>
    <w:p>
      <w:pPr>
        <w:pStyle w:val="9"/>
        <w:numPr>
          <w:ilvl w:val="0"/>
          <w:numId w:val="5"/>
        </w:numPr>
        <w:spacing w:line="480" w:lineRule="auto"/>
        <w:rPr>
          <w:rFonts w:hint="default" w:ascii="楷体_GB2312" w:hAnsi="宋体" w:eastAsia="楷体_GB2312"/>
          <w:color w:val="000000"/>
          <w:sz w:val="24"/>
          <w:szCs w:val="24"/>
          <w:lang w:val="en-US" w:eastAsia="zh-CN"/>
        </w:rPr>
      </w:pPr>
      <w:r>
        <w:rPr>
          <w:rFonts w:hint="eastAsia" w:ascii="楷体_GB2312" w:hAnsi="宋体" w:eastAsia="楷体_GB2312"/>
          <w:color w:val="000000"/>
          <w:sz w:val="24"/>
          <w:szCs w:val="24"/>
          <w:lang w:val="en-US" w:eastAsia="zh-CN"/>
        </w:rPr>
        <w:t>本文件明确了单机柜数据中心碳足迹核算的系统边界，包含原材料生产；能源生产；原材料的运输；机柜及机柜内部设备的生产：机柜及机柜内部设备生产所涵盖的全部工序；机柜及机柜内部设备的运输；单机柜数据中心的安装；单机柜数据中心的运营；单机柜数据中心的废弃与处置。</w:t>
      </w:r>
    </w:p>
    <w:p>
      <w:pPr>
        <w:pStyle w:val="9"/>
        <w:numPr>
          <w:ilvl w:val="0"/>
          <w:numId w:val="5"/>
        </w:numPr>
        <w:spacing w:line="480" w:lineRule="auto"/>
        <w:rPr>
          <w:rFonts w:hint="default" w:ascii="楷体_GB2312" w:hAnsi="宋体" w:eastAsia="楷体_GB2312"/>
          <w:color w:val="000000"/>
          <w:sz w:val="24"/>
          <w:szCs w:val="24"/>
          <w:lang w:val="en-US" w:eastAsia="zh-CN"/>
        </w:rPr>
      </w:pPr>
      <w:r>
        <w:rPr>
          <w:rFonts w:hint="eastAsia" w:ascii="楷体_GB2312" w:hAnsi="宋体" w:eastAsia="楷体_GB2312"/>
          <w:color w:val="000000"/>
          <w:sz w:val="24"/>
          <w:szCs w:val="24"/>
          <w:lang w:val="en-US" w:eastAsia="zh-CN"/>
        </w:rPr>
        <w:t>本文件给出了详细的现场数据收集表模板，以规范企业实景数据收集的范围和颗粒度大小。</w:t>
      </w:r>
    </w:p>
    <w:p>
      <w:pPr>
        <w:pStyle w:val="9"/>
        <w:numPr>
          <w:ilvl w:val="0"/>
          <w:numId w:val="4"/>
        </w:numPr>
        <w:spacing w:line="480" w:lineRule="auto"/>
        <w:rPr>
          <w:rFonts w:hint="eastAsia" w:ascii="楷体_GB2312" w:hAnsi="宋体" w:eastAsia="楷体_GB2312"/>
          <w:color w:val="000000"/>
          <w:sz w:val="24"/>
          <w:szCs w:val="24"/>
        </w:rPr>
      </w:pPr>
      <w:r>
        <w:rPr>
          <w:rFonts w:hint="eastAsia" w:ascii="楷体_GB2312" w:hAnsi="宋体" w:eastAsia="楷体_GB2312"/>
          <w:color w:val="000000"/>
          <w:sz w:val="24"/>
          <w:szCs w:val="24"/>
        </w:rPr>
        <w:t>编制过程中解决的主要问题（做出的贡献）</w:t>
      </w:r>
    </w:p>
    <w:p>
      <w:pPr>
        <w:adjustRightInd w:val="0"/>
        <w:snapToGrid w:val="0"/>
        <w:spacing w:line="480" w:lineRule="auto"/>
        <w:ind w:firstLine="480" w:firstLineChars="200"/>
        <w:rPr>
          <w:rFonts w:hint="default" w:ascii="楷体_GB2312" w:hAnsi="宋体" w:eastAsia="楷体_GB2312"/>
          <w:color w:val="000000"/>
          <w:kern w:val="0"/>
          <w:sz w:val="24"/>
          <w:szCs w:val="24"/>
          <w:lang w:val="en-US" w:eastAsia="zh-CN"/>
        </w:rPr>
      </w:pPr>
      <w:r>
        <w:rPr>
          <w:rFonts w:hint="eastAsia" w:ascii="楷体_GB2312" w:hAnsi="宋体" w:eastAsia="楷体_GB2312"/>
          <w:color w:val="000000"/>
          <w:kern w:val="0"/>
          <w:sz w:val="24"/>
          <w:szCs w:val="24"/>
          <w:lang w:val="en-US" w:eastAsia="zh-CN"/>
        </w:rPr>
        <w:t>本文件基于全生命周期理论，明确单机柜数据中心产品碳足迹核算范围，统一其核算口径，为开展单机柜数据中心产品碳足迹核算提供了基本遵循。</w:t>
      </w:r>
    </w:p>
    <w:p>
      <w:pPr>
        <w:adjustRightInd w:val="0"/>
        <w:snapToGrid w:val="0"/>
        <w:spacing w:line="480" w:lineRule="auto"/>
        <w:rPr>
          <w:rFonts w:hint="eastAsia"/>
          <w:b/>
          <w:color w:val="000000"/>
          <w:sz w:val="24"/>
        </w:rPr>
      </w:pPr>
      <w:r>
        <w:rPr>
          <w:rFonts w:hint="eastAsia"/>
          <w:b/>
          <w:sz w:val="24"/>
        </w:rPr>
        <w:t>三、</w:t>
      </w:r>
      <w:r>
        <w:rPr>
          <w:rFonts w:hint="eastAsia"/>
          <w:b/>
          <w:color w:val="000000"/>
          <w:sz w:val="24"/>
        </w:rPr>
        <w:t>主要研制情况分析</w:t>
      </w:r>
    </w:p>
    <w:p>
      <w:pPr>
        <w:pStyle w:val="9"/>
        <w:keepNext w:val="0"/>
        <w:keepLines w:val="0"/>
        <w:pageBreakBefore w:val="0"/>
        <w:widowControl/>
        <w:kinsoku/>
        <w:wordWrap/>
        <w:overflowPunct/>
        <w:topLinePunct w:val="0"/>
        <w:autoSpaceDE w:val="0"/>
        <w:autoSpaceDN w:val="0"/>
        <w:bidi w:val="0"/>
        <w:adjustRightInd/>
        <w:snapToGrid/>
        <w:spacing w:line="480" w:lineRule="auto"/>
        <w:ind w:left="0" w:leftChars="0" w:firstLine="480" w:firstLineChars="200"/>
        <w:textAlignment w:val="auto"/>
        <w:rPr>
          <w:rFonts w:hint="eastAsia" w:ascii="楷体_GB2312" w:hAnsi="宋体" w:eastAsia="楷体_GB2312" w:cs="Times New Roman"/>
          <w:color w:val="000000"/>
          <w:kern w:val="0"/>
          <w:sz w:val="24"/>
          <w:szCs w:val="24"/>
          <w:lang w:val="en-US" w:eastAsia="zh-CN" w:bidi="ar-SA"/>
        </w:rPr>
      </w:pPr>
      <w:r>
        <w:rPr>
          <w:rFonts w:hint="eastAsia" w:ascii="楷体_GB2312" w:hAnsi="宋体" w:eastAsia="楷体_GB2312" w:cs="Times New Roman"/>
          <w:color w:val="000000"/>
          <w:kern w:val="0"/>
          <w:sz w:val="24"/>
          <w:szCs w:val="24"/>
          <w:lang w:val="en-US" w:eastAsia="zh-CN" w:bidi="ar-SA"/>
        </w:rPr>
        <w:t>《产品碳足迹 产品种类规则 单机柜数据中心》标准验证从范围广度和指标深度上均实现了全面性和代表性。在应用过程中能够较好地依据标准，从功能单位划分、系统边界确认、数据采集、计算等过程，得出各类型单机柜数据中心的产品碳足迹。</w:t>
      </w:r>
    </w:p>
    <w:p>
      <w:pPr>
        <w:pStyle w:val="9"/>
        <w:spacing w:line="480" w:lineRule="auto"/>
        <w:ind w:firstLine="0" w:firstLineChars="0"/>
        <w:rPr>
          <w:rFonts w:hint="eastAsia"/>
          <w:b/>
          <w:color w:val="000000"/>
          <w:sz w:val="24"/>
          <w:szCs w:val="24"/>
        </w:rPr>
      </w:pPr>
      <w:r>
        <w:rPr>
          <w:rFonts w:hint="eastAsia"/>
          <w:b/>
          <w:color w:val="000000"/>
          <w:sz w:val="24"/>
          <w:szCs w:val="24"/>
        </w:rPr>
        <w:t>四、知识产权情况说明</w:t>
      </w:r>
    </w:p>
    <w:p>
      <w:pPr>
        <w:pStyle w:val="9"/>
        <w:spacing w:line="480" w:lineRule="auto"/>
        <w:rPr>
          <w:rFonts w:hint="eastAsia" w:ascii="楷体_GB2312" w:hAnsi="宋体" w:eastAsia="楷体_GB2312" w:cs="Times New Roman"/>
          <w:color w:val="000000"/>
          <w:kern w:val="0"/>
          <w:sz w:val="24"/>
          <w:szCs w:val="24"/>
          <w:lang w:val="en-US" w:eastAsia="zh-CN" w:bidi="ar-SA"/>
        </w:rPr>
      </w:pPr>
      <w:r>
        <w:rPr>
          <w:rFonts w:hint="eastAsia" w:ascii="楷体_GB2312" w:hAnsi="宋体" w:eastAsia="楷体_GB2312" w:cs="Times New Roman"/>
          <w:color w:val="000000"/>
          <w:kern w:val="0"/>
          <w:sz w:val="24"/>
          <w:szCs w:val="24"/>
          <w:lang w:val="en-US" w:eastAsia="zh-CN" w:bidi="ar-SA"/>
        </w:rPr>
        <w:t>本文件不涉及知识产权问题。</w:t>
      </w:r>
    </w:p>
    <w:p>
      <w:pPr>
        <w:pStyle w:val="9"/>
        <w:spacing w:line="480" w:lineRule="auto"/>
        <w:ind w:firstLine="0" w:firstLineChars="0"/>
        <w:rPr>
          <w:rFonts w:hint="eastAsia"/>
          <w:b/>
          <w:sz w:val="24"/>
          <w:szCs w:val="24"/>
        </w:rPr>
      </w:pPr>
      <w:r>
        <w:rPr>
          <w:rFonts w:hint="eastAsia"/>
          <w:b/>
          <w:sz w:val="24"/>
          <w:szCs w:val="24"/>
        </w:rPr>
        <w:t>五、</w:t>
      </w:r>
      <w:r>
        <w:rPr>
          <w:rFonts w:hint="eastAsia"/>
          <w:b/>
          <w:color w:val="000000"/>
          <w:sz w:val="24"/>
          <w:szCs w:val="24"/>
        </w:rPr>
        <w:t>产业化情况、推广应用论证和预期达到的经济效果</w:t>
      </w:r>
    </w:p>
    <w:p>
      <w:pPr>
        <w:pStyle w:val="9"/>
        <w:spacing w:line="480" w:lineRule="auto"/>
        <w:rPr>
          <w:rFonts w:hint="eastAsia" w:ascii="楷体_GB2312" w:hAnsi="宋体" w:eastAsia="楷体_GB2312"/>
          <w:color w:val="000000"/>
          <w:sz w:val="24"/>
          <w:szCs w:val="24"/>
        </w:rPr>
      </w:pPr>
      <w:r>
        <w:rPr>
          <w:rFonts w:hint="eastAsia" w:ascii="楷体_GB2312" w:hAnsi="宋体" w:eastAsia="楷体_GB2312"/>
          <w:color w:val="000000"/>
          <w:sz w:val="24"/>
          <w:szCs w:val="24"/>
        </w:rPr>
        <w:t>产品碳足迹是产品系统中温室气体的排放和清除之和，基于生命周期评价的以CO</w:t>
      </w:r>
      <w:r>
        <w:rPr>
          <w:rFonts w:hint="eastAsia" w:ascii="楷体_GB2312" w:hAnsi="宋体" w:eastAsia="楷体_GB2312"/>
          <w:color w:val="000000"/>
          <w:sz w:val="24"/>
          <w:szCs w:val="24"/>
          <w:vertAlign w:val="subscript"/>
        </w:rPr>
        <w:t>2</w:t>
      </w:r>
      <w:r>
        <w:rPr>
          <w:rFonts w:hint="eastAsia" w:ascii="楷体_GB2312" w:hAnsi="宋体" w:eastAsia="楷体_GB2312"/>
          <w:color w:val="000000"/>
          <w:sz w:val="24"/>
          <w:szCs w:val="24"/>
        </w:rPr>
        <w:t xml:space="preserve">当量表示的候变化的单一影响类型（ISO 14067定义）。通俗的说产品碳足迹是指运用生命周期评价（LCA）的方法，定量化计算产品全寿命周期过程中相关的温室气体排放量。产品碳足迹-产品种类规则，是指对产品种类进行碳足迹核算所必须满足的一套具体的规则、要求和指南。《产品碳足迹 产品种类规则 </w:t>
      </w:r>
      <w:r>
        <w:rPr>
          <w:rFonts w:hint="eastAsia" w:ascii="楷体_GB2312" w:hAnsi="宋体" w:eastAsia="楷体_GB2312"/>
          <w:color w:val="000000"/>
          <w:sz w:val="24"/>
          <w:szCs w:val="24"/>
          <w:lang w:val="en-US" w:eastAsia="zh-CN"/>
        </w:rPr>
        <w:t>单机柜数据中心</w:t>
      </w:r>
      <w:r>
        <w:rPr>
          <w:rFonts w:hint="eastAsia" w:ascii="楷体_GB2312" w:hAnsi="宋体" w:eastAsia="楷体_GB2312"/>
          <w:color w:val="000000"/>
          <w:sz w:val="24"/>
          <w:szCs w:val="24"/>
        </w:rPr>
        <w:t>》是对</w:t>
      </w:r>
      <w:r>
        <w:rPr>
          <w:rFonts w:hint="eastAsia" w:ascii="楷体_GB2312" w:hAnsi="宋体" w:eastAsia="楷体_GB2312"/>
          <w:color w:val="000000"/>
          <w:sz w:val="24"/>
          <w:szCs w:val="24"/>
          <w:lang w:val="en-US" w:eastAsia="zh-CN"/>
        </w:rPr>
        <w:t>以单机柜数据中心</w:t>
      </w:r>
      <w:r>
        <w:rPr>
          <w:rFonts w:hint="eastAsia" w:ascii="楷体_GB2312" w:hAnsi="宋体" w:eastAsia="楷体_GB2312"/>
          <w:color w:val="000000"/>
          <w:sz w:val="24"/>
          <w:szCs w:val="24"/>
        </w:rPr>
        <w:t>这一类产品进行碳足迹核算所的标准化方法。</w:t>
      </w:r>
    </w:p>
    <w:p>
      <w:pPr>
        <w:pStyle w:val="9"/>
        <w:spacing w:line="480" w:lineRule="auto"/>
        <w:rPr>
          <w:rFonts w:hint="eastAsia" w:ascii="楷体_GB2312" w:hAnsi="宋体" w:eastAsia="楷体_GB2312"/>
          <w:color w:val="000000"/>
          <w:sz w:val="24"/>
          <w:szCs w:val="24"/>
        </w:rPr>
      </w:pPr>
      <w:r>
        <w:rPr>
          <w:rFonts w:hint="eastAsia" w:ascii="楷体_GB2312" w:hAnsi="宋体" w:eastAsia="楷体_GB2312"/>
          <w:color w:val="000000"/>
          <w:sz w:val="24"/>
          <w:szCs w:val="24"/>
        </w:rPr>
        <w:t>碳足迹作为LCA方法的重要应用之一，已逐渐成为世界范围内评估产品碳排放的主导方法。企业真正了解产品在同类产品碳足迹中的大小和对气候变化的影响，是降低碳减排的第一步和关键的一步。碳足迹量化指标的建立，使消费者对产品生产的环境影响有一个量化认识，继而引导其消费决策。企业通过产品碳足迹分析，可以改善内部运营、节能减排、节省成本，同时还可以作为一项营销策略由此获得竞争优势。碳足迹指标的量化推动了</w:t>
      </w:r>
      <w:r>
        <w:rPr>
          <w:rFonts w:hint="eastAsia" w:ascii="楷体_GB2312" w:hAnsi="宋体" w:eastAsia="楷体_GB2312"/>
          <w:color w:val="000000"/>
          <w:sz w:val="24"/>
          <w:szCs w:val="24"/>
          <w:lang w:val="en-US" w:eastAsia="zh-CN"/>
        </w:rPr>
        <w:t>数据中心</w:t>
      </w:r>
      <w:r>
        <w:rPr>
          <w:rFonts w:hint="eastAsia" w:ascii="楷体_GB2312" w:hAnsi="宋体" w:eastAsia="楷体_GB2312"/>
          <w:color w:val="000000"/>
          <w:sz w:val="24"/>
          <w:szCs w:val="24"/>
        </w:rPr>
        <w:t>碳足迹的量化评价，为我国实行碳排放总量控制、碳交易、碳税收等政策提供技术保障。</w:t>
      </w:r>
    </w:p>
    <w:p>
      <w:pPr>
        <w:pStyle w:val="9"/>
        <w:spacing w:line="480" w:lineRule="auto"/>
        <w:ind w:firstLine="0" w:firstLineChars="0"/>
        <w:rPr>
          <w:rFonts w:hint="eastAsia"/>
          <w:b/>
          <w:color w:val="000000"/>
          <w:sz w:val="24"/>
          <w:szCs w:val="24"/>
        </w:rPr>
      </w:pPr>
      <w:r>
        <w:rPr>
          <w:rFonts w:hint="eastAsia"/>
          <w:b/>
          <w:sz w:val="24"/>
          <w:szCs w:val="24"/>
        </w:rPr>
        <w:t>六、</w:t>
      </w:r>
      <w:r>
        <w:rPr>
          <w:rFonts w:hint="eastAsia"/>
          <w:b/>
          <w:color w:val="000000"/>
          <w:sz w:val="24"/>
          <w:szCs w:val="24"/>
        </w:rPr>
        <w:t>采用国际标准和国外先进标准情况</w:t>
      </w:r>
    </w:p>
    <w:p>
      <w:pPr>
        <w:pStyle w:val="9"/>
        <w:spacing w:line="480" w:lineRule="auto"/>
        <w:jc w:val="both"/>
        <w:rPr>
          <w:rFonts w:hint="eastAsia" w:ascii="楷体_GB2312" w:hAnsi="宋体" w:eastAsia="楷体_GB2312" w:cs="Times New Roman"/>
          <w:color w:val="000000"/>
          <w:kern w:val="0"/>
          <w:sz w:val="24"/>
          <w:szCs w:val="24"/>
          <w:lang w:val="en-US" w:eastAsia="zh-CN" w:bidi="ar-SA"/>
        </w:rPr>
      </w:pPr>
      <w:r>
        <w:rPr>
          <w:rFonts w:hint="eastAsia" w:ascii="楷体_GB2312" w:hAnsi="宋体" w:eastAsia="楷体_GB2312" w:cs="Times New Roman"/>
          <w:color w:val="000000"/>
          <w:kern w:val="0"/>
          <w:sz w:val="24"/>
          <w:szCs w:val="24"/>
          <w:lang w:val="en-US" w:eastAsia="zh-CN" w:bidi="ar-SA"/>
        </w:rPr>
        <w:t>国际上广泛应用于产品的碳足迹核算标准有 PA S2050《商品和服务在生命周期内的温室气体排放评价规范》、和 ISO14067《温室气体排放产品碳足迹量化要求和指南》。其中，PAS 2050 是第一个产品碳足迹核算标准，也是ISO14067 正式出台前应用最广的产品碳足迹评价规范，于 2008 年 10 月公布，旨在对评估产品和服务生命周期内温室气体排放的要求做出明确的规定，使公司、客户和其他利益相关方通过对产品碳足迹的核算，在第一时间采取对于环境有益的恰当决策。PAS 2050 在2011年进行了更新，更新后的版本对产品碳足迹核算提供了更加详细的要求和指导。目前，国内出台的电子行业《</w:t>
      </w:r>
      <w:r>
        <w:rPr>
          <w:rFonts w:hint="eastAsia" w:ascii="楷体_GB2312" w:hAnsi="宋体" w:eastAsia="楷体_GB2312" w:cs="Times New Roman"/>
          <w:color w:val="000000"/>
          <w:kern w:val="0"/>
          <w:sz w:val="24"/>
          <w:szCs w:val="24"/>
          <w:lang w:val="en-US" w:eastAsia="zh-CN" w:bidi="ar-SA"/>
        </w:rPr>
        <w:fldChar w:fldCharType="begin"/>
      </w:r>
      <w:r>
        <w:rPr>
          <w:rFonts w:hint="eastAsia" w:ascii="楷体_GB2312" w:hAnsi="宋体" w:eastAsia="楷体_GB2312" w:cs="Times New Roman"/>
          <w:color w:val="000000"/>
          <w:kern w:val="0"/>
          <w:sz w:val="24"/>
          <w:szCs w:val="24"/>
          <w:lang w:val="en-US" w:eastAsia="zh-CN" w:bidi="ar-SA"/>
        </w:rPr>
        <w:instrText xml:space="preserve"> HYPERLINK "https://std.samr.gov.cn/hb/search/stdHBDetailed?id=8B1827F259A9BB19E05397BE0A0AB44A" \t "https://std.samr.gov.cn/search/_blank" </w:instrText>
      </w:r>
      <w:r>
        <w:rPr>
          <w:rFonts w:hint="eastAsia" w:ascii="楷体_GB2312" w:hAnsi="宋体" w:eastAsia="楷体_GB2312" w:cs="Times New Roman"/>
          <w:color w:val="000000"/>
          <w:kern w:val="0"/>
          <w:sz w:val="24"/>
          <w:szCs w:val="24"/>
          <w:lang w:val="en-US" w:eastAsia="zh-CN" w:bidi="ar-SA"/>
        </w:rPr>
        <w:fldChar w:fldCharType="separate"/>
      </w:r>
      <w:r>
        <w:rPr>
          <w:rFonts w:hint="eastAsia" w:ascii="楷体_GB2312" w:hAnsi="宋体" w:eastAsia="楷体_GB2312" w:cs="Times New Roman"/>
          <w:color w:val="000000"/>
          <w:kern w:val="0"/>
          <w:sz w:val="24"/>
          <w:szCs w:val="24"/>
          <w:lang w:val="en-US" w:eastAsia="zh-CN" w:bidi="ar-SA"/>
        </w:rPr>
        <w:t>产品碳足迹 产品种类规则 液晶电视机</w:t>
      </w:r>
      <w:r>
        <w:rPr>
          <w:rFonts w:hint="eastAsia" w:ascii="楷体_GB2312" w:hAnsi="宋体" w:eastAsia="楷体_GB2312" w:cs="Times New Roman"/>
          <w:color w:val="000000"/>
          <w:kern w:val="0"/>
          <w:sz w:val="24"/>
          <w:szCs w:val="24"/>
          <w:lang w:val="en-US" w:eastAsia="zh-CN" w:bidi="ar-SA"/>
        </w:rPr>
        <w:fldChar w:fldCharType="end"/>
      </w:r>
      <w:r>
        <w:rPr>
          <w:rFonts w:hint="eastAsia" w:ascii="楷体_GB2312" w:hAnsi="宋体" w:eastAsia="楷体_GB2312" w:cs="Times New Roman"/>
          <w:color w:val="000000"/>
          <w:kern w:val="0"/>
          <w:sz w:val="24"/>
          <w:szCs w:val="24"/>
          <w:lang w:val="en-US" w:eastAsia="zh-CN" w:bidi="ar-SA"/>
        </w:rPr>
        <w:t>》（SJ/T 11718-2018）、《产品碳足迹 产品种类规则 液晶显示器》（SJ/T 11717-2018 ）等，均可为本标准的制定提供参考。</w:t>
      </w:r>
    </w:p>
    <w:p>
      <w:pPr>
        <w:pStyle w:val="9"/>
        <w:spacing w:line="480" w:lineRule="auto"/>
        <w:ind w:firstLine="0" w:firstLineChars="0"/>
        <w:rPr>
          <w:rFonts w:hint="eastAsia" w:hAnsi="宋体"/>
          <w:color w:val="000000"/>
          <w:sz w:val="24"/>
          <w:szCs w:val="24"/>
        </w:rPr>
      </w:pPr>
      <w:r>
        <w:rPr>
          <w:rFonts w:hint="eastAsia"/>
          <w:b/>
          <w:sz w:val="24"/>
          <w:szCs w:val="24"/>
        </w:rPr>
        <w:t>七、</w:t>
      </w:r>
      <w:r>
        <w:rPr>
          <w:rFonts w:hint="eastAsia"/>
          <w:b/>
          <w:color w:val="000000"/>
          <w:sz w:val="24"/>
          <w:szCs w:val="24"/>
        </w:rPr>
        <w:t>与现行相关法律、法规、规章及相关标准的协调性</w:t>
      </w:r>
    </w:p>
    <w:p>
      <w:pPr>
        <w:spacing w:line="480" w:lineRule="auto"/>
        <w:ind w:firstLine="482"/>
        <w:rPr>
          <w:rFonts w:hint="eastAsia" w:ascii="楷体_GB2312" w:eastAsia="楷体_GB2312"/>
          <w:sz w:val="24"/>
          <w:szCs w:val="24"/>
        </w:rPr>
      </w:pPr>
      <w:r>
        <w:rPr>
          <w:rFonts w:hint="eastAsia" w:ascii="楷体_GB2312" w:eastAsia="楷体_GB2312"/>
          <w:sz w:val="24"/>
          <w:szCs w:val="24"/>
        </w:rPr>
        <w:t>本标准基于生命周期理论，参考 ISO 14067《温室气体产品碳足迹量化要求和指南》的相关要求，与 GB/T 24040《环境管理 生命周期评价原则与框架》、GB/T24044《环境管理 生命周期评价 要求与指南》相关要求保持一致。</w:t>
      </w:r>
    </w:p>
    <w:p>
      <w:pPr>
        <w:pStyle w:val="9"/>
        <w:spacing w:line="480" w:lineRule="auto"/>
        <w:ind w:firstLine="0" w:firstLineChars="0"/>
        <w:rPr>
          <w:rFonts w:hint="eastAsia"/>
          <w:b/>
          <w:color w:val="000000"/>
          <w:sz w:val="24"/>
          <w:szCs w:val="24"/>
        </w:rPr>
      </w:pPr>
      <w:r>
        <w:rPr>
          <w:rFonts w:hint="eastAsia"/>
          <w:b/>
          <w:sz w:val="24"/>
          <w:szCs w:val="24"/>
        </w:rPr>
        <w:t>八、</w:t>
      </w:r>
      <w:r>
        <w:rPr>
          <w:rFonts w:hint="eastAsia"/>
          <w:b/>
          <w:color w:val="000000"/>
          <w:sz w:val="24"/>
          <w:szCs w:val="24"/>
        </w:rPr>
        <w:t>重大分歧意见的处理经过和依据</w:t>
      </w:r>
    </w:p>
    <w:p>
      <w:pPr>
        <w:pStyle w:val="9"/>
        <w:spacing w:line="480" w:lineRule="auto"/>
        <w:ind w:firstLine="480"/>
        <w:rPr>
          <w:rFonts w:hint="eastAsia"/>
          <w:color w:val="000000"/>
          <w:sz w:val="24"/>
          <w:szCs w:val="24"/>
        </w:rPr>
      </w:pPr>
      <w:r>
        <w:rPr>
          <w:rFonts w:hint="eastAsia" w:ascii="楷体" w:hAnsi="楷体" w:eastAsia="楷体" w:cs="楷体"/>
          <w:color w:val="000000"/>
          <w:sz w:val="21"/>
          <w:szCs w:val="21"/>
        </w:rPr>
        <w:t>无</w:t>
      </w:r>
      <w:r>
        <w:rPr>
          <w:rFonts w:hint="eastAsia"/>
          <w:color w:val="000000"/>
          <w:sz w:val="24"/>
          <w:szCs w:val="24"/>
        </w:rPr>
        <w:t>。</w:t>
      </w:r>
    </w:p>
    <w:p>
      <w:pPr>
        <w:pStyle w:val="9"/>
        <w:spacing w:line="480" w:lineRule="auto"/>
        <w:ind w:firstLine="0" w:firstLineChars="0"/>
        <w:rPr>
          <w:rFonts w:hint="eastAsia"/>
          <w:b/>
          <w:color w:val="000000"/>
          <w:sz w:val="24"/>
          <w:szCs w:val="24"/>
        </w:rPr>
      </w:pPr>
      <w:r>
        <w:rPr>
          <w:rFonts w:hint="eastAsia"/>
          <w:b/>
          <w:color w:val="000000"/>
          <w:sz w:val="24"/>
          <w:szCs w:val="24"/>
        </w:rPr>
        <w:t>九、标准性质的建议</w:t>
      </w:r>
    </w:p>
    <w:p>
      <w:pPr>
        <w:pStyle w:val="9"/>
        <w:spacing w:line="480" w:lineRule="auto"/>
        <w:rPr>
          <w:rFonts w:hint="eastAsia" w:ascii="楷体_GB2312" w:eastAsia="楷体_GB2312"/>
          <w:sz w:val="24"/>
          <w:szCs w:val="24"/>
        </w:rPr>
      </w:pPr>
      <w:r>
        <w:rPr>
          <w:rFonts w:hint="eastAsia" w:ascii="楷体_GB2312" w:hAnsi="宋体" w:eastAsia="楷体_GB2312"/>
          <w:sz w:val="24"/>
          <w:szCs w:val="24"/>
        </w:rPr>
        <w:t>建议本项标准为</w:t>
      </w:r>
      <w:r>
        <w:rPr>
          <w:rFonts w:hint="eastAsia" w:ascii="楷体_GB2312" w:hAnsi="宋体" w:eastAsia="楷体_GB2312"/>
          <w:sz w:val="24"/>
          <w:szCs w:val="24"/>
          <w:lang w:val="en-US" w:eastAsia="zh-CN"/>
        </w:rPr>
        <w:t>行业</w:t>
      </w:r>
      <w:r>
        <w:rPr>
          <w:rFonts w:hint="eastAsia" w:ascii="楷体_GB2312" w:hAnsi="宋体" w:eastAsia="楷体_GB2312"/>
          <w:sz w:val="24"/>
          <w:szCs w:val="24"/>
        </w:rPr>
        <w:t>推荐性标准。</w:t>
      </w:r>
    </w:p>
    <w:p>
      <w:pPr>
        <w:pStyle w:val="9"/>
        <w:spacing w:line="480" w:lineRule="auto"/>
        <w:ind w:firstLine="0" w:firstLineChars="0"/>
        <w:rPr>
          <w:rFonts w:hint="eastAsia"/>
          <w:b/>
          <w:sz w:val="24"/>
          <w:szCs w:val="24"/>
        </w:rPr>
      </w:pPr>
      <w:r>
        <w:rPr>
          <w:rFonts w:hint="eastAsia"/>
          <w:b/>
          <w:sz w:val="24"/>
          <w:szCs w:val="24"/>
        </w:rPr>
        <w:t>十、</w:t>
      </w:r>
      <w:r>
        <w:rPr>
          <w:rFonts w:hint="eastAsia"/>
          <w:b/>
          <w:color w:val="000000"/>
          <w:sz w:val="24"/>
          <w:szCs w:val="24"/>
        </w:rPr>
        <w:t>贯彻标准的要求和措施建议</w:t>
      </w:r>
    </w:p>
    <w:p>
      <w:pPr>
        <w:pStyle w:val="9"/>
        <w:spacing w:line="480" w:lineRule="auto"/>
        <w:rPr>
          <w:rFonts w:hint="eastAsia" w:ascii="楷体_GB2312" w:hAnsi="宋体" w:eastAsia="楷体_GB2312" w:cs="Times New Roman"/>
          <w:color w:val="000000"/>
          <w:kern w:val="0"/>
          <w:sz w:val="24"/>
          <w:szCs w:val="24"/>
          <w:lang w:val="en-US" w:eastAsia="zh-CN" w:bidi="ar-SA"/>
        </w:rPr>
      </w:pPr>
      <w:r>
        <w:rPr>
          <w:rFonts w:hint="eastAsia" w:ascii="楷体_GB2312" w:hAnsi="宋体" w:eastAsia="楷体_GB2312" w:cs="Times New Roman"/>
          <w:color w:val="000000"/>
          <w:kern w:val="0"/>
          <w:sz w:val="24"/>
          <w:szCs w:val="24"/>
          <w:lang w:val="en-US" w:eastAsia="zh-CN" w:bidi="ar-SA"/>
        </w:rPr>
        <w:t>建议标准尽快发布，自发布之日起 6 个月实施。</w:t>
      </w:r>
    </w:p>
    <w:p>
      <w:pPr>
        <w:pStyle w:val="9"/>
        <w:spacing w:line="480" w:lineRule="auto"/>
        <w:ind w:left="0" w:leftChars="0" w:firstLine="0" w:firstLineChars="0"/>
        <w:rPr>
          <w:rFonts w:hint="eastAsia"/>
          <w:b/>
          <w:sz w:val="24"/>
          <w:szCs w:val="24"/>
        </w:rPr>
      </w:pPr>
      <w:r>
        <w:rPr>
          <w:rFonts w:hint="eastAsia"/>
          <w:b/>
          <w:sz w:val="24"/>
          <w:szCs w:val="24"/>
        </w:rPr>
        <w:t>十一、替代或</w:t>
      </w:r>
      <w:r>
        <w:rPr>
          <w:rFonts w:hint="eastAsia"/>
          <w:b/>
          <w:color w:val="000000"/>
          <w:sz w:val="24"/>
          <w:szCs w:val="24"/>
        </w:rPr>
        <w:t>废止现行相关标准的建议</w:t>
      </w:r>
    </w:p>
    <w:p>
      <w:pPr>
        <w:pStyle w:val="9"/>
        <w:spacing w:line="480" w:lineRule="auto"/>
        <w:rPr>
          <w:rFonts w:hint="eastAsia" w:ascii="楷体_GB2312" w:eastAsia="楷体_GB2312"/>
          <w:sz w:val="24"/>
          <w:szCs w:val="24"/>
        </w:rPr>
      </w:pPr>
      <w:r>
        <w:rPr>
          <w:rFonts w:hint="eastAsia" w:ascii="楷体_GB2312" w:eastAsia="楷体_GB2312"/>
          <w:sz w:val="24"/>
          <w:szCs w:val="24"/>
          <w:lang w:val="en-US" w:eastAsia="zh-CN"/>
        </w:rPr>
        <w:t>无</w:t>
      </w:r>
      <w:r>
        <w:rPr>
          <w:rFonts w:hint="eastAsia" w:ascii="楷体_GB2312" w:eastAsia="楷体_GB2312"/>
          <w:sz w:val="24"/>
          <w:szCs w:val="24"/>
        </w:rPr>
        <w:t>。</w:t>
      </w:r>
    </w:p>
    <w:p>
      <w:pPr>
        <w:pStyle w:val="9"/>
        <w:spacing w:line="480" w:lineRule="auto"/>
        <w:ind w:left="0" w:leftChars="0" w:firstLine="0" w:firstLineChars="0"/>
        <w:rPr>
          <w:rFonts w:hint="eastAsia"/>
          <w:b/>
          <w:color w:val="000000"/>
          <w:sz w:val="24"/>
          <w:szCs w:val="24"/>
        </w:rPr>
      </w:pPr>
      <w:r>
        <w:rPr>
          <w:rFonts w:hint="eastAsia"/>
          <w:b/>
          <w:sz w:val="24"/>
          <w:szCs w:val="24"/>
        </w:rPr>
        <w:t>十二、</w:t>
      </w:r>
      <w:r>
        <w:rPr>
          <w:rFonts w:hint="eastAsia"/>
          <w:b/>
          <w:color w:val="000000"/>
          <w:sz w:val="24"/>
          <w:szCs w:val="24"/>
        </w:rPr>
        <w:t>其它应予说明的事项</w:t>
      </w:r>
    </w:p>
    <w:p>
      <w:pPr>
        <w:pStyle w:val="9"/>
        <w:spacing w:line="480" w:lineRule="auto"/>
        <w:rPr>
          <w:rFonts w:hint="eastAsia" w:ascii="宋体" w:hAnsi="宋体"/>
          <w:sz w:val="24"/>
        </w:rPr>
      </w:pPr>
      <w:r>
        <w:rPr>
          <w:rFonts w:hint="eastAsia" w:ascii="楷体_GB2312" w:hAnsi="宋体" w:eastAsia="楷体_GB2312" w:cs="Times New Roman"/>
          <w:color w:val="000000"/>
          <w:kern w:val="0"/>
          <w:sz w:val="24"/>
          <w:szCs w:val="24"/>
          <w:lang w:val="en-US" w:eastAsia="zh-CN" w:bidi="ar-SA"/>
        </w:rPr>
        <w:t>无。</w:t>
      </w:r>
      <w:r>
        <w:rPr>
          <w:rFonts w:hint="eastAsia" w:ascii="宋体" w:hAnsi="宋体"/>
          <w:sz w:val="24"/>
        </w:rPr>
        <w:t xml:space="preserve">                     </w:t>
      </w:r>
    </w:p>
    <w:p>
      <w:pPr>
        <w:spacing w:line="360" w:lineRule="auto"/>
        <w:jc w:val="right"/>
        <w:rPr>
          <w:rFonts w:hint="eastAsia" w:ascii="宋体" w:hAnsi="宋体"/>
          <w:sz w:val="24"/>
          <w:lang w:eastAsia="zh-CN"/>
        </w:rPr>
      </w:pPr>
      <w:r>
        <w:rPr>
          <w:rFonts w:hint="eastAsia" w:ascii="宋体" w:hAnsi="宋体"/>
          <w:sz w:val="24"/>
          <w:lang w:eastAsia="zh-CN"/>
        </w:rPr>
        <w:t>《</w:t>
      </w:r>
      <w:r>
        <w:rPr>
          <w:rFonts w:hint="eastAsia" w:ascii="楷体_GB2312" w:eastAsia="楷体_GB2312"/>
          <w:sz w:val="24"/>
          <w:szCs w:val="24"/>
          <w:lang w:val="en-US" w:eastAsia="zh-CN"/>
        </w:rPr>
        <w:t>产品碳足迹 产品种类规则 单机柜数据中心</w:t>
      </w:r>
      <w:r>
        <w:rPr>
          <w:rFonts w:hint="eastAsia" w:ascii="宋体" w:hAnsi="宋体"/>
          <w:sz w:val="24"/>
          <w:lang w:eastAsia="zh-CN"/>
        </w:rPr>
        <w:t>》</w:t>
      </w:r>
    </w:p>
    <w:p>
      <w:pPr>
        <w:spacing w:line="360" w:lineRule="auto"/>
        <w:jc w:val="right"/>
        <w:rPr>
          <w:rFonts w:hint="eastAsia" w:ascii="宋体" w:hAnsi="宋体"/>
          <w:sz w:val="24"/>
        </w:rPr>
      </w:pPr>
      <w:r>
        <w:rPr>
          <w:rFonts w:hint="eastAsia" w:ascii="楷体_GB2312" w:eastAsia="楷体_GB2312"/>
          <w:sz w:val="24"/>
          <w:szCs w:val="24"/>
          <w:lang w:val="en-US" w:eastAsia="zh-CN"/>
        </w:rPr>
        <w:t xml:space="preserve">行业标准编制工作组 </w:t>
      </w:r>
      <w:r>
        <w:rPr>
          <w:rFonts w:hint="eastAsia" w:ascii="宋体" w:hAnsi="宋体"/>
          <w:sz w:val="24"/>
        </w:rPr>
        <w:t xml:space="preserve">                     </w:t>
      </w:r>
    </w:p>
    <w:p>
      <w:pPr>
        <w:spacing w:line="360" w:lineRule="auto"/>
        <w:jc w:val="center"/>
      </w:pPr>
      <w:r>
        <w:rPr>
          <w:rFonts w:hint="eastAsia" w:ascii="宋体" w:hAnsi="宋体"/>
          <w:sz w:val="24"/>
          <w:lang w:val="en-US" w:eastAsia="zh-CN"/>
        </w:rPr>
        <w:t xml:space="preserve">                                                       2024.5.16</w:t>
      </w:r>
      <w:bookmarkStart w:id="0" w:name="_GoBack"/>
      <w:bookmarkEnd w:id="0"/>
    </w:p>
    <w:sectPr>
      <w:pgSz w:w="12081" w:h="16962"/>
      <w:pgMar w:top="1417" w:right="1814" w:bottom="1412" w:left="1814" w:header="0" w:footer="1293"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853B1D"/>
    <w:multiLevelType w:val="singleLevel"/>
    <w:tmpl w:val="A5853B1D"/>
    <w:lvl w:ilvl="0" w:tentative="0">
      <w:start w:val="1"/>
      <w:numFmt w:val="decimal"/>
      <w:suff w:val="nothing"/>
      <w:lvlText w:val="（%1）"/>
      <w:lvlJc w:val="left"/>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3"/>
      <w:suff w:val="nothing"/>
      <w:lvlText w:val="%1.%2　"/>
      <w:lvlJc w:val="left"/>
      <w:pPr>
        <w:ind w:left="945" w:firstLine="0"/>
      </w:pPr>
      <w:rPr>
        <w:rFonts w:hint="eastAsia" w:ascii="黑体" w:hAnsi="Times New Roman" w:eastAsia="黑体"/>
        <w:b w:val="0"/>
        <w:bCs w:val="0"/>
        <w:i w:val="0"/>
        <w:iCs w:val="0"/>
        <w:vanish/>
        <w:spacing w:val="0"/>
        <w:kern w:val="0"/>
        <w:sz w:val="21"/>
        <w:szCs w:val="21"/>
        <w:u w:val="none"/>
        <w:vertAlign w:val="baseline"/>
      </w:rPr>
    </w:lvl>
    <w:lvl w:ilvl="2" w:tentative="0">
      <w:start w:val="1"/>
      <w:numFmt w:val="decimal"/>
      <w:pStyle w:val="12"/>
      <w:suff w:val="nothing"/>
      <w:lvlText w:val="%1.%2.%3　"/>
      <w:lvlJc w:val="left"/>
      <w:pPr>
        <w:ind w:left="36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44C50F90"/>
    <w:multiLevelType w:val="multilevel"/>
    <w:tmpl w:val="44C50F90"/>
    <w:lvl w:ilvl="0" w:tentative="0">
      <w:start w:val="1"/>
      <w:numFmt w:val="lowerLetter"/>
      <w:pStyle w:val="14"/>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
    <w:nsid w:val="5BBEEE8D"/>
    <w:multiLevelType w:val="singleLevel"/>
    <w:tmpl w:val="5BBEEE8D"/>
    <w:lvl w:ilvl="0" w:tentative="0">
      <w:start w:val="1"/>
      <w:numFmt w:val="decimal"/>
      <w:lvlText w:val="%1"/>
      <w:lvlJc w:val="left"/>
      <w:pPr>
        <w:tabs>
          <w:tab w:val="left" w:pos="420"/>
        </w:tabs>
        <w:ind w:left="425" w:hanging="425"/>
      </w:pPr>
      <w:rPr>
        <w:rFonts w:hint="default"/>
      </w:rPr>
    </w:lvl>
  </w:abstractNum>
  <w:abstractNum w:abstractNumId="4">
    <w:nsid w:val="5EF81A98"/>
    <w:multiLevelType w:val="singleLevel"/>
    <w:tmpl w:val="5EF81A98"/>
    <w:lvl w:ilvl="0" w:tentative="0">
      <w:start w:val="2"/>
      <w:numFmt w:val="decimal"/>
      <w:suff w:val="nothing"/>
      <w:lvlText w:val="%1、"/>
      <w:lvlJc w:val="left"/>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1C5367"/>
    <w:rsid w:val="00C40FA8"/>
    <w:rsid w:val="00C945D8"/>
    <w:rsid w:val="00DB2EA3"/>
    <w:rsid w:val="012958F6"/>
    <w:rsid w:val="02053AEB"/>
    <w:rsid w:val="02574CE3"/>
    <w:rsid w:val="041F7ED2"/>
    <w:rsid w:val="04820ADC"/>
    <w:rsid w:val="0491498E"/>
    <w:rsid w:val="04A72DDA"/>
    <w:rsid w:val="051060E7"/>
    <w:rsid w:val="055F2A5D"/>
    <w:rsid w:val="0586291D"/>
    <w:rsid w:val="05F467D4"/>
    <w:rsid w:val="06477E5C"/>
    <w:rsid w:val="06C071A1"/>
    <w:rsid w:val="06C226A4"/>
    <w:rsid w:val="07017C0B"/>
    <w:rsid w:val="0726401C"/>
    <w:rsid w:val="0729554C"/>
    <w:rsid w:val="07FD446B"/>
    <w:rsid w:val="085C571A"/>
    <w:rsid w:val="098174AB"/>
    <w:rsid w:val="09E12241"/>
    <w:rsid w:val="0A9A7472"/>
    <w:rsid w:val="0B243B52"/>
    <w:rsid w:val="0C4B4C3A"/>
    <w:rsid w:val="0CA6624D"/>
    <w:rsid w:val="0D1D4F92"/>
    <w:rsid w:val="0D4A0652"/>
    <w:rsid w:val="0D5605EF"/>
    <w:rsid w:val="0D5A4DF7"/>
    <w:rsid w:val="0E7A6A47"/>
    <w:rsid w:val="104E4A31"/>
    <w:rsid w:val="111F5EF8"/>
    <w:rsid w:val="11913BAC"/>
    <w:rsid w:val="121042CA"/>
    <w:rsid w:val="128611F1"/>
    <w:rsid w:val="13547143"/>
    <w:rsid w:val="13995836"/>
    <w:rsid w:val="14A15B28"/>
    <w:rsid w:val="14C0309A"/>
    <w:rsid w:val="14EA7C70"/>
    <w:rsid w:val="164178F1"/>
    <w:rsid w:val="171966F1"/>
    <w:rsid w:val="1750464D"/>
    <w:rsid w:val="17583A0A"/>
    <w:rsid w:val="17592D18"/>
    <w:rsid w:val="18A95E47"/>
    <w:rsid w:val="18B9619D"/>
    <w:rsid w:val="18C15C1F"/>
    <w:rsid w:val="18C42B3C"/>
    <w:rsid w:val="19740ACF"/>
    <w:rsid w:val="19C672B4"/>
    <w:rsid w:val="1AE351F5"/>
    <w:rsid w:val="1B657406"/>
    <w:rsid w:val="1B6E20CD"/>
    <w:rsid w:val="1C4E6FFE"/>
    <w:rsid w:val="1EB15386"/>
    <w:rsid w:val="1F38650F"/>
    <w:rsid w:val="1F503858"/>
    <w:rsid w:val="1F763049"/>
    <w:rsid w:val="1FC8398C"/>
    <w:rsid w:val="215025B4"/>
    <w:rsid w:val="21644AD8"/>
    <w:rsid w:val="22805453"/>
    <w:rsid w:val="2338088B"/>
    <w:rsid w:val="234A5951"/>
    <w:rsid w:val="243A2F7C"/>
    <w:rsid w:val="25764F02"/>
    <w:rsid w:val="25D21A81"/>
    <w:rsid w:val="27133A29"/>
    <w:rsid w:val="271C5367"/>
    <w:rsid w:val="27AB7C5B"/>
    <w:rsid w:val="27D33279"/>
    <w:rsid w:val="280E62FD"/>
    <w:rsid w:val="28D66B8D"/>
    <w:rsid w:val="295E3016"/>
    <w:rsid w:val="29AC36EE"/>
    <w:rsid w:val="29B46176"/>
    <w:rsid w:val="2A3E6494"/>
    <w:rsid w:val="2A883AAD"/>
    <w:rsid w:val="2B4C407F"/>
    <w:rsid w:val="2B8973FB"/>
    <w:rsid w:val="2B9E3B1D"/>
    <w:rsid w:val="2C5F7E51"/>
    <w:rsid w:val="2C940BB2"/>
    <w:rsid w:val="2CEB6F3E"/>
    <w:rsid w:val="2D53689C"/>
    <w:rsid w:val="2DB61F8F"/>
    <w:rsid w:val="2DF44782"/>
    <w:rsid w:val="2E717347"/>
    <w:rsid w:val="30E57BC8"/>
    <w:rsid w:val="313F7EA1"/>
    <w:rsid w:val="316A6B67"/>
    <w:rsid w:val="31967D77"/>
    <w:rsid w:val="324C535B"/>
    <w:rsid w:val="33637BDB"/>
    <w:rsid w:val="33F93952"/>
    <w:rsid w:val="343A2848"/>
    <w:rsid w:val="356F75FB"/>
    <w:rsid w:val="3570223A"/>
    <w:rsid w:val="36011B29"/>
    <w:rsid w:val="371D3491"/>
    <w:rsid w:val="388A344E"/>
    <w:rsid w:val="38A7350C"/>
    <w:rsid w:val="390E2362"/>
    <w:rsid w:val="39255FA8"/>
    <w:rsid w:val="39AF7CB0"/>
    <w:rsid w:val="39C34753"/>
    <w:rsid w:val="39C66BB3"/>
    <w:rsid w:val="39D55431"/>
    <w:rsid w:val="3A332D84"/>
    <w:rsid w:val="3AEA1B2C"/>
    <w:rsid w:val="3B4F388B"/>
    <w:rsid w:val="3B5A7CEC"/>
    <w:rsid w:val="3BF5131A"/>
    <w:rsid w:val="3C1850DF"/>
    <w:rsid w:val="3C333252"/>
    <w:rsid w:val="3C51278C"/>
    <w:rsid w:val="3C88295C"/>
    <w:rsid w:val="3E1A4DE3"/>
    <w:rsid w:val="3E7452EB"/>
    <w:rsid w:val="3EB62F71"/>
    <w:rsid w:val="3F150D8C"/>
    <w:rsid w:val="3FB91463"/>
    <w:rsid w:val="3FC76631"/>
    <w:rsid w:val="40662CB8"/>
    <w:rsid w:val="42256110"/>
    <w:rsid w:val="42310788"/>
    <w:rsid w:val="428F35C1"/>
    <w:rsid w:val="42D739B6"/>
    <w:rsid w:val="42DE7FD0"/>
    <w:rsid w:val="42EF105C"/>
    <w:rsid w:val="43270C90"/>
    <w:rsid w:val="43410E67"/>
    <w:rsid w:val="43E560F1"/>
    <w:rsid w:val="4418632E"/>
    <w:rsid w:val="445C7035"/>
    <w:rsid w:val="44654E01"/>
    <w:rsid w:val="44A654A3"/>
    <w:rsid w:val="44A87213"/>
    <w:rsid w:val="44C35AE0"/>
    <w:rsid w:val="45F53B2E"/>
    <w:rsid w:val="464623D8"/>
    <w:rsid w:val="4702058D"/>
    <w:rsid w:val="47210E42"/>
    <w:rsid w:val="472829CB"/>
    <w:rsid w:val="475009F7"/>
    <w:rsid w:val="47A370CC"/>
    <w:rsid w:val="485B64C3"/>
    <w:rsid w:val="48B07F42"/>
    <w:rsid w:val="48F3235F"/>
    <w:rsid w:val="490A0962"/>
    <w:rsid w:val="49AA71E7"/>
    <w:rsid w:val="4A140E14"/>
    <w:rsid w:val="4B213550"/>
    <w:rsid w:val="4B481211"/>
    <w:rsid w:val="4B4A7BD3"/>
    <w:rsid w:val="4C5A2353"/>
    <w:rsid w:val="4C816990"/>
    <w:rsid w:val="4D966893"/>
    <w:rsid w:val="4DED50AF"/>
    <w:rsid w:val="4EC23C9C"/>
    <w:rsid w:val="4F856392"/>
    <w:rsid w:val="4FE03214"/>
    <w:rsid w:val="50165391"/>
    <w:rsid w:val="5190705D"/>
    <w:rsid w:val="51CC4612"/>
    <w:rsid w:val="52653BBD"/>
    <w:rsid w:val="52E16861"/>
    <w:rsid w:val="535769C9"/>
    <w:rsid w:val="54983866"/>
    <w:rsid w:val="54A85071"/>
    <w:rsid w:val="55912766"/>
    <w:rsid w:val="55C20188"/>
    <w:rsid w:val="56137B46"/>
    <w:rsid w:val="56FF0AB4"/>
    <w:rsid w:val="57AE5369"/>
    <w:rsid w:val="58CC68D6"/>
    <w:rsid w:val="5A4B37D1"/>
    <w:rsid w:val="5AFF0F58"/>
    <w:rsid w:val="5BC11424"/>
    <w:rsid w:val="5C5677F5"/>
    <w:rsid w:val="5D456C14"/>
    <w:rsid w:val="5DA25A90"/>
    <w:rsid w:val="5DB062C3"/>
    <w:rsid w:val="5E0D40E7"/>
    <w:rsid w:val="5E706923"/>
    <w:rsid w:val="5EDB472C"/>
    <w:rsid w:val="5EF04A01"/>
    <w:rsid w:val="5F2B1033"/>
    <w:rsid w:val="5F780090"/>
    <w:rsid w:val="5F9C39B9"/>
    <w:rsid w:val="5FA34174"/>
    <w:rsid w:val="6023728B"/>
    <w:rsid w:val="6055153B"/>
    <w:rsid w:val="60DE647B"/>
    <w:rsid w:val="61733EC9"/>
    <w:rsid w:val="6173696E"/>
    <w:rsid w:val="617A50CB"/>
    <w:rsid w:val="639F01FD"/>
    <w:rsid w:val="646D3B32"/>
    <w:rsid w:val="64836FBC"/>
    <w:rsid w:val="64D92503"/>
    <w:rsid w:val="65266D7F"/>
    <w:rsid w:val="65927979"/>
    <w:rsid w:val="66310536"/>
    <w:rsid w:val="66336D6C"/>
    <w:rsid w:val="663A3FBC"/>
    <w:rsid w:val="66BF6EA0"/>
    <w:rsid w:val="67390D68"/>
    <w:rsid w:val="67980F98"/>
    <w:rsid w:val="689C2BAE"/>
    <w:rsid w:val="68C15CB5"/>
    <w:rsid w:val="69A302F9"/>
    <w:rsid w:val="6A984F72"/>
    <w:rsid w:val="6AD74A57"/>
    <w:rsid w:val="6B304837"/>
    <w:rsid w:val="6C7E3DED"/>
    <w:rsid w:val="6CFC1B36"/>
    <w:rsid w:val="6D277236"/>
    <w:rsid w:val="6D7C6C16"/>
    <w:rsid w:val="6DA438F0"/>
    <w:rsid w:val="6DE85A69"/>
    <w:rsid w:val="6E4B5383"/>
    <w:rsid w:val="6E5C1945"/>
    <w:rsid w:val="6F3C6EA4"/>
    <w:rsid w:val="6F6A5D27"/>
    <w:rsid w:val="6F8B248C"/>
    <w:rsid w:val="70D746AC"/>
    <w:rsid w:val="71506A1F"/>
    <w:rsid w:val="71787AB9"/>
    <w:rsid w:val="71C905C1"/>
    <w:rsid w:val="72112EE5"/>
    <w:rsid w:val="73806A6D"/>
    <w:rsid w:val="73983B95"/>
    <w:rsid w:val="73A225C1"/>
    <w:rsid w:val="7443359B"/>
    <w:rsid w:val="749D155F"/>
    <w:rsid w:val="753352D6"/>
    <w:rsid w:val="763F5A21"/>
    <w:rsid w:val="766F1796"/>
    <w:rsid w:val="77746D80"/>
    <w:rsid w:val="77904DB5"/>
    <w:rsid w:val="780D14EB"/>
    <w:rsid w:val="79350CE9"/>
    <w:rsid w:val="79BC1EC7"/>
    <w:rsid w:val="7AD31C35"/>
    <w:rsid w:val="7B38059E"/>
    <w:rsid w:val="7B9D7579"/>
    <w:rsid w:val="7BC96724"/>
    <w:rsid w:val="7C644CDC"/>
    <w:rsid w:val="7CBC4D73"/>
    <w:rsid w:val="7D7A0669"/>
    <w:rsid w:val="7DAC2780"/>
    <w:rsid w:val="7DC346EE"/>
    <w:rsid w:val="7DF1427C"/>
    <w:rsid w:val="7E2255FE"/>
    <w:rsid w:val="7E5E502D"/>
    <w:rsid w:val="7E9A5AFC"/>
    <w:rsid w:val="7F4A08E4"/>
    <w:rsid w:val="7F5451E4"/>
    <w:rsid w:val="7FC40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keepNext/>
      <w:widowControl/>
      <w:overflowPunct w:val="0"/>
      <w:autoSpaceDE w:val="0"/>
      <w:autoSpaceDN w:val="0"/>
      <w:spacing w:line="360" w:lineRule="auto"/>
      <w:outlineLvl w:val="1"/>
    </w:pPr>
    <w:rPr>
      <w:rFonts w:ascii="黑体" w:hAnsi="黑体" w:eastAsia="黑体" w:cs="Times New Roman"/>
      <w:sz w:val="28"/>
      <w:szCs w:val="22"/>
    </w:rPr>
  </w:style>
  <w:style w:type="paragraph" w:styleId="3">
    <w:name w:val="heading 4"/>
    <w:basedOn w:val="1"/>
    <w:next w:val="1"/>
    <w:semiHidden/>
    <w:unhideWhenUsed/>
    <w:qFormat/>
    <w:uiPriority w:val="0"/>
    <w:pPr>
      <w:keepNext/>
      <w:keepLines/>
      <w:spacing w:beforeLines="0" w:beforeAutospacing="0" w:afterLines="0" w:afterAutospacing="0" w:line="360" w:lineRule="auto"/>
      <w:outlineLvl w:val="3"/>
    </w:pPr>
    <w:rPr>
      <w:rFonts w:ascii="Times New Roman" w:hAnsi="Times New Roman" w:eastAsia="仿宋"/>
      <w:b/>
      <w:sz w:val="28"/>
      <w:szCs w:val="2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Emphasis"/>
    <w:basedOn w:val="6"/>
    <w:qFormat/>
    <w:uiPriority w:val="0"/>
    <w:rPr>
      <w:i/>
    </w:rPr>
  </w:style>
  <w:style w:type="character" w:styleId="8">
    <w:name w:val="Hyperlink"/>
    <w:basedOn w:val="6"/>
    <w:qFormat/>
    <w:uiPriority w:val="0"/>
    <w:rPr>
      <w:color w:val="0000FF"/>
      <w:u w:val="single"/>
    </w:rPr>
  </w:style>
  <w:style w:type="paragraph" w:customStyle="1" w:styleId="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0">
    <w:name w:val="_Style 2"/>
    <w:basedOn w:val="1"/>
    <w:qFormat/>
    <w:uiPriority w:val="34"/>
    <w:pPr>
      <w:ind w:firstLine="420" w:firstLineChars="200"/>
    </w:pPr>
    <w:rPr>
      <w:rFonts w:ascii="Calibri" w:hAnsi="Calibri"/>
      <w:szCs w:val="22"/>
    </w:rPr>
  </w:style>
  <w:style w:type="paragraph" w:customStyle="1" w:styleId="11">
    <w:name w:val="二级无"/>
    <w:basedOn w:val="12"/>
    <w:qFormat/>
    <w:uiPriority w:val="0"/>
    <w:pPr>
      <w:spacing w:before="0" w:after="0"/>
    </w:pPr>
    <w:rPr>
      <w:rFonts w:ascii="宋体" w:eastAsia="宋体"/>
    </w:rPr>
  </w:style>
  <w:style w:type="paragraph" w:customStyle="1" w:styleId="12">
    <w:name w:val="二级条标题"/>
    <w:basedOn w:val="13"/>
    <w:qFormat/>
    <w:uiPriority w:val="0"/>
    <w:pPr>
      <w:numPr>
        <w:ilvl w:val="2"/>
        <w:numId w:val="1"/>
      </w:numPr>
      <w:spacing w:before="50" w:after="50"/>
      <w:outlineLvl w:val="3"/>
    </w:pPr>
  </w:style>
  <w:style w:type="paragraph" w:customStyle="1" w:styleId="13">
    <w:name w:val="一级条标题"/>
    <w:qFormat/>
    <w:uiPriority w:val="0"/>
    <w:pPr>
      <w:numPr>
        <w:ilvl w:val="1"/>
        <w:numId w:val="1"/>
      </w:numPr>
      <w:spacing w:before="156" w:after="156"/>
      <w:outlineLvl w:val="2"/>
    </w:pPr>
    <w:rPr>
      <w:rFonts w:ascii="黑体" w:hAnsi="Times New Roman" w:eastAsia="黑体" w:cs="Times New Roman"/>
      <w:sz w:val="21"/>
      <w:szCs w:val="21"/>
      <w:lang w:val="en-US" w:eastAsia="zh-CN" w:bidi="ar-SA"/>
    </w:rPr>
  </w:style>
  <w:style w:type="paragraph" w:customStyle="1" w:styleId="14">
    <w:name w:val="标准文件_字母编号列项（一级）"/>
    <w:qFormat/>
    <w:uiPriority w:val="0"/>
    <w:pPr>
      <w:numPr>
        <w:ilvl w:val="0"/>
        <w:numId w:val="2"/>
      </w:numPr>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2024-03-06T01:35:00Z</dcterms:created>
  <dc:creator>赵礼弢</dc:creator>
  <cp:lastModifiedBy>赵礼弢</cp:lastModifiedBy>
  <dcterms:modified xsi:type="dcterms:W3CDTF">2024-05-27T07:21:05Z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2225BB709C284508A8037FF7427AA5F4</vt:lpwstr>
  </property>
</Properties>
</file>