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sz w:val="32"/>
          <w:szCs w:val="32"/>
        </w:rPr>
      </w:pPr>
      <w:r>
        <w:rPr>
          <w:rFonts w:hint="eastAsia" w:ascii="黑体" w:hAnsi="宋体" w:eastAsia="黑体"/>
          <w:sz w:val="32"/>
          <w:szCs w:val="32"/>
        </w:rPr>
        <w:t xml:space="preserve">《产品碳足迹 产品种类规则 </w:t>
      </w:r>
      <w:r>
        <w:rPr>
          <w:rFonts w:hint="eastAsia" w:ascii="黑体" w:hAnsi="宋体" w:eastAsia="黑体"/>
          <w:sz w:val="32"/>
          <w:szCs w:val="32"/>
          <w:lang w:eastAsia="zh-CN"/>
        </w:rPr>
        <w:t>模块化</w:t>
      </w:r>
      <w:r>
        <w:rPr>
          <w:rFonts w:hint="eastAsia" w:ascii="黑体" w:hAnsi="宋体" w:eastAsia="黑体"/>
          <w:sz w:val="32"/>
          <w:szCs w:val="32"/>
        </w:rPr>
        <w:t>数据中心》</w:t>
      </w:r>
      <w:r>
        <w:rPr>
          <w:rFonts w:hint="eastAsia" w:ascii="黑体" w:hAnsi="宋体" w:eastAsia="黑体"/>
          <w:sz w:val="32"/>
          <w:szCs w:val="32"/>
          <w:lang w:val="en-US" w:eastAsia="zh-CN"/>
        </w:rPr>
        <w:t>行业</w:t>
      </w:r>
      <w:r>
        <w:rPr>
          <w:rFonts w:hint="eastAsia" w:ascii="黑体" w:hAnsi="宋体" w:eastAsia="黑体"/>
          <w:sz w:val="32"/>
          <w:szCs w:val="32"/>
        </w:rPr>
        <w:t>标准（</w:t>
      </w:r>
      <w:r>
        <w:rPr>
          <w:rFonts w:hint="eastAsia" w:ascii="黑体" w:hAnsi="宋体" w:eastAsia="黑体"/>
          <w:sz w:val="32"/>
          <w:szCs w:val="32"/>
          <w:lang w:val="en-US" w:eastAsia="zh-CN"/>
        </w:rPr>
        <w:t>征求意见稿</w:t>
      </w:r>
      <w:r>
        <w:rPr>
          <w:rFonts w:hint="eastAsia" w:ascii="黑体" w:hAnsi="宋体" w:eastAsia="黑体"/>
          <w:sz w:val="32"/>
          <w:szCs w:val="32"/>
        </w:rPr>
        <w:t>）编制说明</w:t>
      </w:r>
    </w:p>
    <w:p>
      <w:pPr>
        <w:spacing w:line="360" w:lineRule="auto"/>
        <w:ind w:firstLine="472" w:firstLineChars="196"/>
        <w:rPr>
          <w:rFonts w:hint="eastAsia" w:ascii="宋体" w:hAnsi="宋体"/>
          <w:b/>
          <w:bCs/>
          <w:sz w:val="24"/>
          <w:szCs w:val="24"/>
        </w:rPr>
      </w:pPr>
      <w:r>
        <w:rPr>
          <w:rFonts w:hint="eastAsia" w:ascii="宋体" w:hAnsi="宋体"/>
          <w:b/>
          <w:bCs/>
          <w:sz w:val="24"/>
          <w:szCs w:val="24"/>
        </w:rPr>
        <w:t>一、工作简况</w:t>
      </w:r>
    </w:p>
    <w:p>
      <w:pPr>
        <w:pStyle w:val="9"/>
        <w:spacing w:line="36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1、任务来源</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 xml:space="preserve">根据工业和信息化部办公厅关于印发2023年第二批行业标准制修订和外文版项目计划的通知（工信厅科〔2023〕42号）。《产品碳足迹 产品种类规则 </w:t>
      </w:r>
      <w:r>
        <w:rPr>
          <w:rFonts w:hint="eastAsia" w:ascii="楷体_GB2312" w:hAnsi="宋体" w:eastAsia="楷体_GB2312"/>
          <w:color w:val="000000"/>
          <w:sz w:val="24"/>
          <w:szCs w:val="24"/>
          <w:lang w:val="en-US" w:eastAsia="zh-CN"/>
        </w:rPr>
        <w:t>模块化</w:t>
      </w:r>
      <w:r>
        <w:rPr>
          <w:rFonts w:hint="default" w:ascii="楷体_GB2312" w:hAnsi="宋体" w:eastAsia="楷体_GB2312"/>
          <w:color w:val="000000"/>
          <w:sz w:val="24"/>
          <w:szCs w:val="24"/>
          <w:lang w:val="en-US" w:eastAsia="zh-CN"/>
        </w:rPr>
        <w:t>数据中心》为推荐性行业标准，修订定周期为24个月(完成年限为2025年7月)，该标准由中国电子技术标准化研究院归口管理，主要起草单位是中国电子技术标准化研究院。</w:t>
      </w:r>
    </w:p>
    <w:p>
      <w:pPr>
        <w:pStyle w:val="9"/>
        <w:spacing w:line="360" w:lineRule="auto"/>
        <w:ind w:firstLine="422"/>
        <w:jc w:val="center"/>
        <w:rPr>
          <w:rFonts w:hint="eastAsia" w:ascii="楷体_GB2312" w:hAnsi="宋体" w:eastAsia="楷体_GB2312"/>
          <w:b/>
          <w:bCs/>
          <w:color w:val="000000"/>
          <w:szCs w:val="21"/>
        </w:rPr>
      </w:pPr>
      <w:r>
        <w:rPr>
          <w:rFonts w:hint="eastAsia" w:ascii="楷体_GB2312" w:hAnsi="宋体" w:eastAsia="楷体_GB2312"/>
          <w:b/>
          <w:bCs/>
          <w:color w:val="000000"/>
          <w:sz w:val="22"/>
          <w:szCs w:val="22"/>
        </w:rPr>
        <w:t>表1 本次</w:t>
      </w:r>
      <w:r>
        <w:rPr>
          <w:rFonts w:hint="eastAsia" w:ascii="楷体_GB2312" w:hAnsi="宋体" w:eastAsia="楷体_GB2312"/>
          <w:b/>
          <w:bCs/>
          <w:color w:val="000000"/>
          <w:sz w:val="22"/>
          <w:szCs w:val="22"/>
          <w:lang w:val="en-US" w:eastAsia="zh-CN"/>
        </w:rPr>
        <w:t>修订的行业</w:t>
      </w:r>
      <w:r>
        <w:rPr>
          <w:rFonts w:hint="eastAsia" w:ascii="楷体_GB2312" w:hAnsi="宋体" w:eastAsia="楷体_GB2312"/>
          <w:b/>
          <w:bCs/>
          <w:color w:val="000000"/>
          <w:sz w:val="22"/>
          <w:szCs w:val="22"/>
        </w:rPr>
        <w:t>标准</w:t>
      </w:r>
      <w:r>
        <w:rPr>
          <w:rFonts w:hint="eastAsia" w:ascii="楷体_GB2312" w:hAnsi="宋体" w:eastAsia="楷体_GB2312"/>
          <w:b/>
          <w:bCs/>
          <w:color w:val="000000"/>
          <w:sz w:val="22"/>
          <w:szCs w:val="22"/>
          <w:lang w:val="en-US" w:eastAsia="zh-CN"/>
        </w:rPr>
        <w:t>名称</w:t>
      </w:r>
      <w:r>
        <w:rPr>
          <w:rFonts w:hint="eastAsia" w:ascii="楷体_GB2312" w:hAnsi="宋体" w:eastAsia="楷体_GB2312"/>
          <w:b/>
          <w:bCs/>
          <w:color w:val="000000"/>
          <w:sz w:val="22"/>
          <w:szCs w:val="22"/>
        </w:rPr>
        <w:t>及项目编号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22"/>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序号</w:t>
            </w:r>
          </w:p>
        </w:tc>
        <w:tc>
          <w:tcPr>
            <w:tcW w:w="1922"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标准项目编号</w:t>
            </w:r>
          </w:p>
        </w:tc>
        <w:tc>
          <w:tcPr>
            <w:tcW w:w="5632" w:type="dxa"/>
            <w:noWrap w:val="0"/>
            <w:vAlign w:val="center"/>
          </w:tcPr>
          <w:p>
            <w:pPr>
              <w:spacing w:line="360" w:lineRule="auto"/>
              <w:jc w:val="center"/>
              <w:rPr>
                <w:rFonts w:hint="eastAsia" w:ascii="仿宋_GB2312" w:hAnsi="宋体" w:eastAsia="仿宋_GB2312"/>
                <w:b/>
                <w:bCs/>
                <w:sz w:val="22"/>
                <w:szCs w:val="22"/>
              </w:rPr>
            </w:pPr>
            <w:r>
              <w:rPr>
                <w:rFonts w:hint="eastAsia" w:ascii="仿宋_GB2312" w:hAnsi="宋体" w:eastAsia="仿宋_GB2312"/>
                <w:b/>
                <w:bCs/>
                <w:sz w:val="22"/>
                <w:szCs w:val="22"/>
              </w:rPr>
              <w:t>国家标准名称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6" w:type="dxa"/>
            <w:noWrap w:val="0"/>
            <w:vAlign w:val="center"/>
          </w:tcPr>
          <w:p>
            <w:pPr>
              <w:numPr>
                <w:ilvl w:val="0"/>
                <w:numId w:val="3"/>
              </w:numPr>
              <w:spacing w:line="360" w:lineRule="auto"/>
              <w:jc w:val="center"/>
              <w:rPr>
                <w:rFonts w:hint="eastAsia" w:ascii="仿宋_GB2312" w:hAnsi="宋体" w:eastAsia="仿宋_GB2312"/>
                <w:sz w:val="21"/>
                <w:szCs w:val="21"/>
              </w:rPr>
            </w:pPr>
          </w:p>
        </w:tc>
        <w:tc>
          <w:tcPr>
            <w:tcW w:w="1922" w:type="dxa"/>
            <w:noWrap w:val="0"/>
            <w:vAlign w:val="center"/>
          </w:tcPr>
          <w:p>
            <w:pPr>
              <w:spacing w:line="360" w:lineRule="auto"/>
              <w:jc w:val="center"/>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2023-091</w:t>
            </w:r>
            <w:r>
              <w:rPr>
                <w:rFonts w:hint="eastAsia" w:ascii="楷体_GB2312" w:hAnsi="宋体" w:eastAsia="楷体_GB2312"/>
                <w:color w:val="000000"/>
                <w:kern w:val="0"/>
                <w:sz w:val="24"/>
                <w:szCs w:val="24"/>
                <w:lang w:val="en-US" w:eastAsia="zh-CN"/>
              </w:rPr>
              <w:t>9</w:t>
            </w:r>
            <w:r>
              <w:rPr>
                <w:rFonts w:hint="eastAsia" w:ascii="楷体_GB2312" w:hAnsi="宋体" w:eastAsia="楷体_GB2312"/>
                <w:color w:val="000000"/>
                <w:kern w:val="0"/>
                <w:sz w:val="24"/>
                <w:szCs w:val="24"/>
              </w:rPr>
              <w:t>T-SJ</w:t>
            </w:r>
          </w:p>
        </w:tc>
        <w:tc>
          <w:tcPr>
            <w:tcW w:w="5632" w:type="dxa"/>
            <w:noWrap w:val="0"/>
            <w:vAlign w:val="center"/>
          </w:tcPr>
          <w:p>
            <w:pPr>
              <w:spacing w:line="360" w:lineRule="auto"/>
              <w:jc w:val="center"/>
              <w:rPr>
                <w:rFonts w:hint="default" w:ascii="楷体_GB2312" w:hAnsi="宋体" w:eastAsia="楷体_GB2312"/>
                <w:color w:val="000000"/>
                <w:kern w:val="0"/>
                <w:sz w:val="24"/>
                <w:szCs w:val="24"/>
                <w:lang w:val="en-US"/>
              </w:rPr>
            </w:pPr>
            <w:r>
              <w:rPr>
                <w:rFonts w:hint="default" w:ascii="楷体_GB2312" w:hAnsi="宋体" w:eastAsia="楷体_GB2312"/>
                <w:color w:val="000000"/>
                <w:kern w:val="0"/>
                <w:sz w:val="24"/>
                <w:szCs w:val="24"/>
                <w:lang w:val="en-US"/>
              </w:rPr>
              <w:t xml:space="preserve">产品碳足迹 产品种类规则 </w:t>
            </w:r>
            <w:r>
              <w:rPr>
                <w:rFonts w:hint="eastAsia" w:ascii="楷体_GB2312" w:hAnsi="宋体" w:eastAsia="楷体_GB2312"/>
                <w:color w:val="000000"/>
                <w:kern w:val="0"/>
                <w:sz w:val="24"/>
                <w:szCs w:val="24"/>
                <w:lang w:val="en-US" w:eastAsia="zh-CN"/>
              </w:rPr>
              <w:t>模块化</w:t>
            </w:r>
            <w:r>
              <w:rPr>
                <w:rFonts w:hint="default" w:ascii="楷体_GB2312" w:hAnsi="宋体" w:eastAsia="楷体_GB2312"/>
                <w:color w:val="000000"/>
                <w:kern w:val="0"/>
                <w:sz w:val="24"/>
                <w:szCs w:val="24"/>
                <w:lang w:val="en-US"/>
              </w:rPr>
              <w:t>数据中心</w:t>
            </w:r>
          </w:p>
        </w:tc>
      </w:tr>
    </w:tbl>
    <w:p>
      <w:pPr>
        <w:pStyle w:val="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2、修订的目的和意义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习近平总书记在第七十五届联合国大会一般性辩论上的讲话中指出，中国宣布将提高“国家自主贡献”力度，力争 2030 年前二氧化碳排放达到峰值，努力争取2060年前实现碳中和。碳达峰碳中和目标愿景为中国经济社会发展全面绿色转型指明了方向，为全球应对气候变化共同行动贡献了关键力量。《中华人民共和国国民经济和社会发展第十四个五年规划和 2035 年远景目标纲要》强调“全面提高资源利用效率；落实 2030 年应对气候变化国家自主贡献目标，锚定努力争取2060 年前实现碳中和”。国务院印发的《关于加快建立健全绿色低碳循环发展经济体系的指导意见》提出“建立健全绿色低碳循环发展的经济体系，确保实现碳达峰、碳中和”。实现碳达峰碳中和，大幅降低温室气体排放，不仅要加快实现能源利用结构优化和能效提升，还要促进经济社会发展的全面绿色转型，全面提高资源利用效率。</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模块化数据中心是数据中心主流建设方式，是安装在建筑物内，由信息技术设备、系统、制冷系统、供配电系统、综合监控系统、照明系统，以及相关软件等功能模块组成、且由建筑物提供配套设施的数据中心。开展模块化数据中心产品碳足迹产品种类规则标准的编制对实现双碳目标有积极的意义。开展模块化数据中心产品碳足迹产品种类规则标准的编制对实现双碳目标有积极的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产品碳足迹评价是基于生命周期评价的方法对于一个产品系统温室气体排放和吸收的汇总，以二氧化碳当量这种形式来表述。该评价方法既可以帮助个人和组织评估其对温室气体环境因素的影响，为环境报告提供有效信息，可以作为企业社会责任的一种量化指标体现。相关企业可根据确定的产品碳足迹减少企业碳排放行为，并采取可行的措施来控制和减少碳排放，提高声誉并强化品牌，改善内部运营，节能减排，获得竞争优势。此外产品碳足迹评价也是引导消费者环保行为的有效标识，引导消费决策。因此产品碳足迹评价成为引领绿色消费的利剑，具有重要的现实意义和深远的历史意义。</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模块化数据中心碳足迹评价以生命周期评价方法为基础可以综合分析模块化数据中心产品在整个生命周期过程中的温室气体相关环境负荷现状，制定模块化数据中心碳足迹规则可以规范模块化数据中心产品碳足迹评价统一的基本规则和要求，为支撑模块化数据中心产品的生态设计、绿色选材以及绿色数据中心等相关认证工作提供可操作性的方法。</w:t>
      </w:r>
    </w:p>
    <w:p>
      <w:pPr>
        <w:pStyle w:val="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3、</w:t>
      </w:r>
      <w:r>
        <w:rPr>
          <w:rFonts w:hint="eastAsia" w:ascii="楷体_GB2312" w:hAnsi="宋体" w:eastAsia="楷体_GB2312"/>
          <w:color w:val="000000"/>
          <w:sz w:val="24"/>
          <w:szCs w:val="24"/>
        </w:rPr>
        <w:t>主要工作过程</w:t>
      </w:r>
    </w:p>
    <w:p>
      <w:pPr>
        <w:spacing w:line="480" w:lineRule="auto"/>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本标准制定主要过程如下：</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（1）2023年8月29日，中国电子技术标准化研究院组织联络相关数据中心企业，组成标准编制组；</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（2）2023年9月19日，中国电子技术标准化研究院组织参编单位完成标准草案；</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（3）2023年10月19日，牵头单位中国电子技术标准化研究院组织召开标准启动会，起草单位及高校专家对标准文本进行激烈讨论，并对标准草案进行了相关修改；</w:t>
      </w:r>
    </w:p>
    <w:p>
      <w:pPr>
        <w:spacing w:line="480" w:lineRule="auto"/>
        <w:ind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（4）2024年1月2日，牵头单位中国电子技术标准化研究院修改完善标准草案，并进一步在起草组内部征集修改意见。</w:t>
      </w:r>
    </w:p>
    <w:p>
      <w:pPr>
        <w:spacing w:line="480" w:lineRule="auto"/>
        <w:ind w:firstLine="480" w:firstLineChars="200"/>
        <w:rPr>
          <w:rFonts w:hint="default"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（5）2024年5月16日，经数月修改，标准编制组形成征求意见稿。</w:t>
      </w:r>
    </w:p>
    <w:p>
      <w:pPr>
        <w:pStyle w:val="9"/>
        <w:keepNext w:val="0"/>
        <w:keepLines w:val="0"/>
        <w:pageBreakBefore w:val="0"/>
        <w:widowControl/>
        <w:numPr>
          <w:ilvl w:val="0"/>
          <w:numId w:val="0"/>
        </w:numPr>
        <w:kinsoku/>
        <w:wordWrap/>
        <w:overflowPunct/>
        <w:topLinePunct w:val="0"/>
        <w:autoSpaceDE w:val="0"/>
        <w:autoSpaceDN w:val="0"/>
        <w:bidi w:val="0"/>
        <w:adjustRightInd/>
        <w:snapToGrid/>
        <w:spacing w:line="480" w:lineRule="auto"/>
        <w:ind w:firstLine="480" w:firstLineChars="200"/>
        <w:textAlignment w:val="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4、</w:t>
      </w:r>
      <w:r>
        <w:rPr>
          <w:rFonts w:hint="eastAsia" w:ascii="楷体_GB2312" w:hAnsi="宋体" w:eastAsia="楷体_GB2312"/>
          <w:color w:val="000000"/>
          <w:sz w:val="24"/>
          <w:szCs w:val="24"/>
        </w:rPr>
        <w:t>标准编制的主要成员单位及其所做的工作</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本标准由中国电子技术标准化研究院负责牵头制定。同时也增加了当前参与标准应用实践、对标准有着深刻理解的一线专家。主要组成如下：</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（1）科研院所；</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（2）数据中心应用厂商；</w:t>
      </w:r>
    </w:p>
    <w:p>
      <w:pPr>
        <w:spacing w:line="480" w:lineRule="auto"/>
        <w:ind w:left="210" w:leftChars="100" w:firstLine="480" w:firstLineChars="200"/>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（3）数据中心生产厂商。</w:t>
      </w:r>
    </w:p>
    <w:p>
      <w:pPr>
        <w:pStyle w:val="9"/>
        <w:spacing w:line="480" w:lineRule="auto"/>
        <w:ind w:firstLine="0" w:firstLineChars="0"/>
        <w:rPr>
          <w:rFonts w:hint="eastAsia"/>
          <w:b/>
          <w:color w:val="000000"/>
          <w:sz w:val="24"/>
          <w:szCs w:val="24"/>
        </w:rPr>
      </w:pPr>
      <w:r>
        <w:rPr>
          <w:rFonts w:hint="eastAsia"/>
          <w:b/>
          <w:sz w:val="24"/>
          <w:szCs w:val="24"/>
        </w:rPr>
        <w:t>二、</w:t>
      </w:r>
      <w:r>
        <w:rPr>
          <w:rFonts w:hint="eastAsia"/>
          <w:b/>
          <w:color w:val="000000"/>
          <w:sz w:val="24"/>
          <w:szCs w:val="24"/>
        </w:rPr>
        <w:t>标准编制原则和确定主要内容的论据及解决的主要问题</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1、编制原则</w:t>
      </w:r>
    </w:p>
    <w:p>
      <w:pPr>
        <w:pStyle w:val="9"/>
        <w:spacing w:line="480" w:lineRule="auto"/>
        <w:rPr>
          <w:rFonts w:hint="eastAsia" w:ascii="楷体_GB2312" w:hAnsi="宋体" w:eastAsia="楷体_GB2312"/>
          <w:color w:val="000000"/>
          <w:sz w:val="24"/>
          <w:szCs w:val="24"/>
          <w:lang w:val="en-US" w:eastAsia="zh-CN"/>
        </w:rPr>
      </w:pPr>
      <w:r>
        <w:rPr>
          <w:rFonts w:hint="eastAsia" w:ascii="楷体_GB2312" w:hAnsi="宋体" w:eastAsia="楷体_GB2312"/>
          <w:color w:val="000000"/>
          <w:sz w:val="24"/>
          <w:szCs w:val="24"/>
        </w:rPr>
        <w:t>该项标准按照GB/T 1.1-2020《标准化工作导则 第1部分：标准化文件的结构和起草规则》</w:t>
      </w:r>
      <w:r>
        <w:rPr>
          <w:rFonts w:hint="eastAsia" w:ascii="楷体_GB2312" w:hAnsi="宋体" w:eastAsia="楷体_GB2312"/>
          <w:color w:val="000000"/>
          <w:sz w:val="24"/>
          <w:szCs w:val="24"/>
          <w:lang w:val="en-US" w:eastAsia="zh-CN"/>
        </w:rPr>
        <w:t>的规定起草。</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本文件编制遵循“科学性、实用性、统一性、规范性”的原则。</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本文件按照</w:t>
      </w:r>
      <w:r>
        <w:rPr>
          <w:rFonts w:hint="eastAsia" w:ascii="楷体_GB2312" w:hAnsi="宋体" w:eastAsia="楷体_GB2312"/>
          <w:color w:val="000000"/>
          <w:sz w:val="24"/>
          <w:szCs w:val="24"/>
          <w:lang w:val="en-US" w:eastAsia="zh-CN"/>
        </w:rPr>
        <w:t>中国电子技术标准化研究院</w:t>
      </w:r>
      <w:r>
        <w:rPr>
          <w:rFonts w:hint="default" w:ascii="楷体_GB2312" w:hAnsi="宋体" w:eastAsia="楷体_GB2312"/>
          <w:color w:val="000000"/>
          <w:sz w:val="24"/>
          <w:szCs w:val="24"/>
          <w:lang w:val="en-US" w:eastAsia="zh-CN"/>
        </w:rPr>
        <w:t>标准制修订工作程序的要求开展工作。</w:t>
      </w:r>
    </w:p>
    <w:p>
      <w:pPr>
        <w:pStyle w:val="9"/>
        <w:spacing w:line="480" w:lineRule="auto"/>
        <w:rPr>
          <w:rFonts w:hint="default" w:ascii="楷体_GB2312" w:hAnsi="宋体" w:eastAsia="楷体_GB2312"/>
          <w:color w:val="000000"/>
          <w:sz w:val="24"/>
          <w:szCs w:val="24"/>
          <w:lang w:val="en-US" w:eastAsia="zh-CN"/>
        </w:rPr>
      </w:pPr>
      <w:r>
        <w:rPr>
          <w:rFonts w:hint="default" w:ascii="楷体_GB2312" w:hAnsi="宋体" w:eastAsia="楷体_GB2312"/>
          <w:color w:val="000000"/>
          <w:sz w:val="24"/>
          <w:szCs w:val="24"/>
          <w:lang w:val="en-US" w:eastAsia="zh-CN"/>
        </w:rPr>
        <w:t>本文件编制过程中，充分考虑标准内容与国际标准的一致性以及与已经发布的国家行业标准的协调关系。</w:t>
      </w:r>
    </w:p>
    <w:p>
      <w:pPr>
        <w:pStyle w:val="9"/>
        <w:numPr>
          <w:ilvl w:val="0"/>
          <w:numId w:val="4"/>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标准</w:t>
      </w:r>
      <w:r>
        <w:rPr>
          <w:rFonts w:hint="eastAsia" w:ascii="楷体_GB2312" w:hAnsi="宋体" w:eastAsia="楷体_GB2312"/>
          <w:color w:val="000000"/>
          <w:sz w:val="24"/>
          <w:szCs w:val="24"/>
          <w:lang w:val="en-US" w:eastAsia="zh-CN"/>
        </w:rPr>
        <w:t>制定的</w:t>
      </w:r>
      <w:r>
        <w:rPr>
          <w:rFonts w:hint="eastAsia" w:ascii="楷体_GB2312" w:hAnsi="宋体" w:eastAsia="楷体_GB2312"/>
          <w:color w:val="000000"/>
          <w:sz w:val="24"/>
          <w:szCs w:val="24"/>
        </w:rPr>
        <w:t>主要内容</w:t>
      </w:r>
    </w:p>
    <w:p>
      <w:pPr>
        <w:pStyle w:val="9"/>
        <w:numPr>
          <w:ilvl w:val="0"/>
          <w:numId w:val="5"/>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lang w:val="en-US" w:eastAsia="zh-CN"/>
        </w:rPr>
        <w:t>本文件规定了模块化数据中心产品碳足迹相关的术语和定义、目的和范围、碳足迹生命周期清单分析、碳足迹影响评价、可比性、碳足迹绩效追踪以及碳足迹评价报告等内容。</w:t>
      </w:r>
    </w:p>
    <w:p>
      <w:pPr>
        <w:pStyle w:val="9"/>
        <w:numPr>
          <w:ilvl w:val="0"/>
          <w:numId w:val="5"/>
        </w:numPr>
        <w:spacing w:line="480" w:lineRule="auto"/>
        <w:rPr>
          <w:rFonts w:hint="default"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本文件明确了模块化数据中心碳足迹核算的系统边界，包含原材料生产；能源生产；原材料的运输；各模块化系统设备的生产：各模块化系统设备生产所涵盖的全部工序；各模块化系统设备的运输；模块化数据中心的安装；模块化数据中心的运营；模块化数据中心的废弃与处置。</w:t>
      </w:r>
      <w:bookmarkStart w:id="0" w:name="_GoBack"/>
      <w:bookmarkEnd w:id="0"/>
    </w:p>
    <w:p>
      <w:pPr>
        <w:pStyle w:val="9"/>
        <w:numPr>
          <w:ilvl w:val="0"/>
          <w:numId w:val="5"/>
        </w:numPr>
        <w:spacing w:line="480" w:lineRule="auto"/>
        <w:rPr>
          <w:rFonts w:hint="default" w:ascii="楷体_GB2312" w:hAnsi="宋体" w:eastAsia="楷体_GB2312"/>
          <w:color w:val="000000"/>
          <w:sz w:val="24"/>
          <w:szCs w:val="24"/>
          <w:lang w:val="en-US" w:eastAsia="zh-CN"/>
        </w:rPr>
      </w:pPr>
      <w:r>
        <w:rPr>
          <w:rFonts w:hint="eastAsia" w:ascii="楷体_GB2312" w:hAnsi="宋体" w:eastAsia="楷体_GB2312"/>
          <w:color w:val="000000"/>
          <w:sz w:val="24"/>
          <w:szCs w:val="24"/>
          <w:lang w:val="en-US" w:eastAsia="zh-CN"/>
        </w:rPr>
        <w:t>本文件给出了详细的现场数据收集表模板，以规范企业实景数据收集的范围和颗粒度大小。</w:t>
      </w:r>
    </w:p>
    <w:p>
      <w:pPr>
        <w:pStyle w:val="9"/>
        <w:numPr>
          <w:ilvl w:val="0"/>
          <w:numId w:val="4"/>
        </w:numPr>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编制过程中解决的主要问题（做出的贡献）</w:t>
      </w:r>
    </w:p>
    <w:p>
      <w:pPr>
        <w:adjustRightInd w:val="0"/>
        <w:snapToGrid w:val="0"/>
        <w:spacing w:line="480" w:lineRule="auto"/>
        <w:ind w:firstLine="480" w:firstLineChars="200"/>
        <w:rPr>
          <w:rFonts w:hint="default" w:ascii="楷体_GB2312" w:hAnsi="宋体" w:eastAsia="楷体_GB2312"/>
          <w:color w:val="000000"/>
          <w:kern w:val="0"/>
          <w:sz w:val="24"/>
          <w:szCs w:val="24"/>
          <w:lang w:val="en-US" w:eastAsia="zh-CN"/>
        </w:rPr>
      </w:pPr>
      <w:r>
        <w:rPr>
          <w:rFonts w:hint="eastAsia" w:ascii="楷体_GB2312" w:hAnsi="宋体" w:eastAsia="楷体_GB2312"/>
          <w:color w:val="000000"/>
          <w:kern w:val="0"/>
          <w:sz w:val="24"/>
          <w:szCs w:val="24"/>
          <w:lang w:val="en-US" w:eastAsia="zh-CN"/>
        </w:rPr>
        <w:t>本文件基于全生命周期理论，明确模块化数据中心产品碳足迹核算范围，统一其核算口径，为开展模块化数据中心产品碳足迹核算提供了基本遵循。</w:t>
      </w:r>
    </w:p>
    <w:p>
      <w:pPr>
        <w:adjustRightInd w:val="0"/>
        <w:snapToGrid w:val="0"/>
        <w:spacing w:line="480" w:lineRule="auto"/>
        <w:rPr>
          <w:rFonts w:hint="eastAsia"/>
          <w:b/>
          <w:color w:val="000000"/>
          <w:sz w:val="24"/>
        </w:rPr>
      </w:pPr>
      <w:r>
        <w:rPr>
          <w:rFonts w:hint="eastAsia"/>
          <w:b/>
          <w:sz w:val="24"/>
        </w:rPr>
        <w:t>三、</w:t>
      </w:r>
      <w:r>
        <w:rPr>
          <w:rFonts w:hint="eastAsia"/>
          <w:b/>
          <w:color w:val="000000"/>
          <w:sz w:val="24"/>
        </w:rPr>
        <w:t>主要研制情况分析</w:t>
      </w:r>
    </w:p>
    <w:p>
      <w:pPr>
        <w:pStyle w:val="9"/>
        <w:keepNext w:val="0"/>
        <w:keepLines w:val="0"/>
        <w:pageBreakBefore w:val="0"/>
        <w:widowControl/>
        <w:kinsoku/>
        <w:wordWrap/>
        <w:overflowPunct/>
        <w:topLinePunct w:val="0"/>
        <w:autoSpaceDE w:val="0"/>
        <w:autoSpaceDN w:val="0"/>
        <w:bidi w:val="0"/>
        <w:adjustRightInd/>
        <w:snapToGrid/>
        <w:spacing w:line="480" w:lineRule="auto"/>
        <w:ind w:left="0" w:leftChars="0" w:firstLine="480" w:firstLineChars="200"/>
        <w:textAlignment w:val="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《产品碳足迹 产品种类规则 模块化数据中心》标准验证从范围广度和指标深度上均实现了全面性和代表性。在应用过程中能够较好地依据标准，从功能单位划分、系统边界确认、数据采集、计算等过程，得出各类型模块化数据中心的产品碳足迹。</w:t>
      </w:r>
    </w:p>
    <w:p>
      <w:pPr>
        <w:pStyle w:val="9"/>
        <w:spacing w:line="480" w:lineRule="auto"/>
        <w:ind w:firstLine="0" w:firstLineChars="0"/>
        <w:rPr>
          <w:rFonts w:hint="eastAsia"/>
          <w:b/>
          <w:color w:val="000000"/>
          <w:sz w:val="24"/>
          <w:szCs w:val="24"/>
        </w:rPr>
      </w:pPr>
      <w:r>
        <w:rPr>
          <w:rFonts w:hint="eastAsia"/>
          <w:b/>
          <w:color w:val="000000"/>
          <w:sz w:val="24"/>
          <w:szCs w:val="24"/>
        </w:rPr>
        <w:t>四、知识产权情况说明</w:t>
      </w:r>
    </w:p>
    <w:p>
      <w:pPr>
        <w:pStyle w:val="9"/>
        <w:spacing w:line="480" w:lineRule="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本文件不涉及知识产权问题。</w:t>
      </w:r>
    </w:p>
    <w:p>
      <w:pPr>
        <w:pStyle w:val="9"/>
        <w:spacing w:line="480" w:lineRule="auto"/>
        <w:ind w:firstLine="0" w:firstLineChars="0"/>
        <w:rPr>
          <w:rFonts w:hint="eastAsia"/>
          <w:b/>
          <w:sz w:val="24"/>
          <w:szCs w:val="24"/>
        </w:rPr>
      </w:pPr>
      <w:r>
        <w:rPr>
          <w:rFonts w:hint="eastAsia"/>
          <w:b/>
          <w:sz w:val="24"/>
          <w:szCs w:val="24"/>
        </w:rPr>
        <w:t>五、</w:t>
      </w:r>
      <w:r>
        <w:rPr>
          <w:rFonts w:hint="eastAsia"/>
          <w:b/>
          <w:color w:val="000000"/>
          <w:sz w:val="24"/>
          <w:szCs w:val="24"/>
        </w:rPr>
        <w:t>产业化情况、推广应用论证和预期达到的经济效果</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产品碳足迹是产品系统中温室气体的排放和清除之和，基于生命周期评价的以CO</w:t>
      </w:r>
      <w:r>
        <w:rPr>
          <w:rFonts w:hint="eastAsia" w:ascii="楷体_GB2312" w:hAnsi="宋体" w:eastAsia="楷体_GB2312"/>
          <w:color w:val="000000"/>
          <w:sz w:val="24"/>
          <w:szCs w:val="24"/>
          <w:vertAlign w:val="subscript"/>
        </w:rPr>
        <w:t>2</w:t>
      </w:r>
      <w:r>
        <w:rPr>
          <w:rFonts w:hint="eastAsia" w:ascii="楷体_GB2312" w:hAnsi="宋体" w:eastAsia="楷体_GB2312"/>
          <w:color w:val="000000"/>
          <w:sz w:val="24"/>
          <w:szCs w:val="24"/>
        </w:rPr>
        <w:t xml:space="preserve">当量表示的候变化的单一影响类型（ISO 14067定义）。通俗的说产品碳足迹是指运用生命周期评价（LCA）的方法，定量化计算产品全寿命周期过程中相关的温室气体排放量。产品碳足迹-产品种类规则，是指对产品种类进行碳足迹核算所必须满足的一套具体的规则、要求和指南。《产品碳足迹 产品种类规则 </w:t>
      </w:r>
      <w:r>
        <w:rPr>
          <w:rFonts w:hint="eastAsia" w:ascii="楷体_GB2312" w:hAnsi="宋体" w:eastAsia="楷体_GB2312"/>
          <w:color w:val="000000"/>
          <w:sz w:val="24"/>
          <w:szCs w:val="24"/>
          <w:lang w:val="en-US" w:eastAsia="zh-CN"/>
        </w:rPr>
        <w:t>模块化数据中心</w:t>
      </w:r>
      <w:r>
        <w:rPr>
          <w:rFonts w:hint="eastAsia" w:ascii="楷体_GB2312" w:hAnsi="宋体" w:eastAsia="楷体_GB2312"/>
          <w:color w:val="000000"/>
          <w:sz w:val="24"/>
          <w:szCs w:val="24"/>
        </w:rPr>
        <w:t>》是对</w:t>
      </w:r>
      <w:r>
        <w:rPr>
          <w:rFonts w:hint="eastAsia" w:ascii="楷体_GB2312" w:hAnsi="宋体" w:eastAsia="楷体_GB2312"/>
          <w:color w:val="000000"/>
          <w:sz w:val="24"/>
          <w:szCs w:val="24"/>
          <w:lang w:val="en-US" w:eastAsia="zh-CN"/>
        </w:rPr>
        <w:t>以模块化数据中心</w:t>
      </w:r>
      <w:r>
        <w:rPr>
          <w:rFonts w:hint="eastAsia" w:ascii="楷体_GB2312" w:hAnsi="宋体" w:eastAsia="楷体_GB2312"/>
          <w:color w:val="000000"/>
          <w:sz w:val="24"/>
          <w:szCs w:val="24"/>
        </w:rPr>
        <w:t>这一类产品进行碳足迹核算所的标准化方法。</w:t>
      </w:r>
    </w:p>
    <w:p>
      <w:pPr>
        <w:pStyle w:val="9"/>
        <w:spacing w:line="480" w:lineRule="auto"/>
        <w:rPr>
          <w:rFonts w:hint="eastAsia" w:ascii="楷体_GB2312" w:hAnsi="宋体" w:eastAsia="楷体_GB2312"/>
          <w:color w:val="000000"/>
          <w:sz w:val="24"/>
          <w:szCs w:val="24"/>
        </w:rPr>
      </w:pPr>
      <w:r>
        <w:rPr>
          <w:rFonts w:hint="eastAsia" w:ascii="楷体_GB2312" w:hAnsi="宋体" w:eastAsia="楷体_GB2312"/>
          <w:color w:val="000000"/>
          <w:sz w:val="24"/>
          <w:szCs w:val="24"/>
        </w:rPr>
        <w:t>碳足迹作为LCA方法的重要应用之一，已逐渐成为世界范围内评估产品碳排放的主导方法。企业真正了解产品在同类产品碳足迹中的大小和对气候变化的影响，是降低碳减排的第一步和关键的一步。碳足迹量化指标的建立，使消费者对产品生产的环境影响有一个量化认识，继而引导其消费决策。企业通过产品碳足迹分析，可以改善内部运营、节能减排、节省成本，同时还可以作为一项营销策略由此获得竞争优势。碳足迹指标的量化推动了</w:t>
      </w:r>
      <w:r>
        <w:rPr>
          <w:rFonts w:hint="eastAsia" w:ascii="楷体_GB2312" w:hAnsi="宋体" w:eastAsia="楷体_GB2312"/>
          <w:color w:val="000000"/>
          <w:sz w:val="24"/>
          <w:szCs w:val="24"/>
          <w:lang w:val="en-US" w:eastAsia="zh-CN"/>
        </w:rPr>
        <w:t>数据中心</w:t>
      </w:r>
      <w:r>
        <w:rPr>
          <w:rFonts w:hint="eastAsia" w:ascii="楷体_GB2312" w:hAnsi="宋体" w:eastAsia="楷体_GB2312"/>
          <w:color w:val="000000"/>
          <w:sz w:val="24"/>
          <w:szCs w:val="24"/>
        </w:rPr>
        <w:t>碳足迹的量化评价，为我国实行碳排放总量控制、碳交易、碳税收等政策提供技术保障。</w:t>
      </w:r>
    </w:p>
    <w:p>
      <w:pPr>
        <w:pStyle w:val="9"/>
        <w:spacing w:line="480" w:lineRule="auto"/>
        <w:ind w:firstLine="0" w:firstLineChars="0"/>
        <w:rPr>
          <w:rFonts w:hint="eastAsia"/>
          <w:b/>
          <w:color w:val="000000"/>
          <w:sz w:val="24"/>
          <w:szCs w:val="24"/>
        </w:rPr>
      </w:pPr>
      <w:r>
        <w:rPr>
          <w:rFonts w:hint="eastAsia"/>
          <w:b/>
          <w:sz w:val="24"/>
          <w:szCs w:val="24"/>
        </w:rPr>
        <w:t>六、</w:t>
      </w:r>
      <w:r>
        <w:rPr>
          <w:rFonts w:hint="eastAsia"/>
          <w:b/>
          <w:color w:val="000000"/>
          <w:sz w:val="24"/>
          <w:szCs w:val="24"/>
        </w:rPr>
        <w:t>采用国际标准和国外先进标准情况</w:t>
      </w:r>
    </w:p>
    <w:p>
      <w:pPr>
        <w:pStyle w:val="9"/>
        <w:spacing w:line="480" w:lineRule="auto"/>
        <w:jc w:val="both"/>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国际上广泛应用于产品的碳足迹核算标准有 PA S2050《商品和服务在生命周期内的温室气体排放评价规范》、和 ISO14067《温室气体排放产品碳足迹量化要求和指南》。其中，PAS 2050 是第一个产品碳足迹核算标准，也是ISO14067 正式出台前应用最广的产品碳足迹评价规范，于 2008 年 10 月公布，旨在对评估产品和服务生命周期内温室气体排放的要求做出明确的规定，使公司、客户和其他利益相关方通过对产品碳足迹的核算，在第一时间采取对于环境有益的恰当决策。PAS 2050 在2011年进行了更新，更新后的版本对产品碳足迹核算提供了更加详细的要求和指导。目前，国内出台的电子行业《</w:t>
      </w:r>
      <w:r>
        <w:rPr>
          <w:rFonts w:hint="eastAsia" w:ascii="楷体_GB2312" w:hAnsi="宋体" w:eastAsia="楷体_GB2312" w:cs="Times New Roman"/>
          <w:color w:val="000000"/>
          <w:kern w:val="0"/>
          <w:sz w:val="24"/>
          <w:szCs w:val="24"/>
          <w:lang w:val="en-US" w:eastAsia="zh-CN" w:bidi="ar-SA"/>
        </w:rPr>
        <w:fldChar w:fldCharType="begin"/>
      </w:r>
      <w:r>
        <w:rPr>
          <w:rFonts w:hint="eastAsia" w:ascii="楷体_GB2312" w:hAnsi="宋体" w:eastAsia="楷体_GB2312" w:cs="Times New Roman"/>
          <w:color w:val="000000"/>
          <w:kern w:val="0"/>
          <w:sz w:val="24"/>
          <w:szCs w:val="24"/>
          <w:lang w:val="en-US" w:eastAsia="zh-CN" w:bidi="ar-SA"/>
        </w:rPr>
        <w:instrText xml:space="preserve"> HYPERLINK "https://std.samr.gov.cn/hb/search/stdHBDetailed?id=8B1827F259A9BB19E05397BE0A0AB44A" \t "https://std.samr.gov.cn/search/_blank" </w:instrText>
      </w:r>
      <w:r>
        <w:rPr>
          <w:rFonts w:hint="eastAsia" w:ascii="楷体_GB2312" w:hAnsi="宋体" w:eastAsia="楷体_GB2312" w:cs="Times New Roman"/>
          <w:color w:val="000000"/>
          <w:kern w:val="0"/>
          <w:sz w:val="24"/>
          <w:szCs w:val="24"/>
          <w:lang w:val="en-US" w:eastAsia="zh-CN" w:bidi="ar-SA"/>
        </w:rPr>
        <w:fldChar w:fldCharType="separate"/>
      </w:r>
      <w:r>
        <w:rPr>
          <w:rFonts w:hint="eastAsia" w:ascii="楷体_GB2312" w:hAnsi="宋体" w:eastAsia="楷体_GB2312" w:cs="Times New Roman"/>
          <w:color w:val="000000"/>
          <w:kern w:val="0"/>
          <w:sz w:val="24"/>
          <w:szCs w:val="24"/>
          <w:lang w:val="en-US" w:eastAsia="zh-CN" w:bidi="ar-SA"/>
        </w:rPr>
        <w:t>产品碳足迹 产品种类规则 液晶电视机</w:t>
      </w:r>
      <w:r>
        <w:rPr>
          <w:rFonts w:hint="eastAsia" w:ascii="楷体_GB2312" w:hAnsi="宋体" w:eastAsia="楷体_GB2312" w:cs="Times New Roman"/>
          <w:color w:val="000000"/>
          <w:kern w:val="0"/>
          <w:sz w:val="24"/>
          <w:szCs w:val="24"/>
          <w:lang w:val="en-US" w:eastAsia="zh-CN" w:bidi="ar-SA"/>
        </w:rPr>
        <w:fldChar w:fldCharType="end"/>
      </w:r>
      <w:r>
        <w:rPr>
          <w:rFonts w:hint="eastAsia" w:ascii="楷体_GB2312" w:hAnsi="宋体" w:eastAsia="楷体_GB2312" w:cs="Times New Roman"/>
          <w:color w:val="000000"/>
          <w:kern w:val="0"/>
          <w:sz w:val="24"/>
          <w:szCs w:val="24"/>
          <w:lang w:val="en-US" w:eastAsia="zh-CN" w:bidi="ar-SA"/>
        </w:rPr>
        <w:t>》（SJ/T 11718-2018）、《产品碳足迹 产品种类规则 液晶显示器》（SJ/T 11717-2018 ）等，均可为本标准的制定提供参考。</w:t>
      </w:r>
    </w:p>
    <w:p>
      <w:pPr>
        <w:pStyle w:val="9"/>
        <w:spacing w:line="480" w:lineRule="auto"/>
        <w:ind w:firstLine="0" w:firstLineChars="0"/>
        <w:rPr>
          <w:rFonts w:hint="eastAsia" w:hAnsi="宋体"/>
          <w:color w:val="000000"/>
          <w:sz w:val="24"/>
          <w:szCs w:val="24"/>
        </w:rPr>
      </w:pPr>
      <w:r>
        <w:rPr>
          <w:rFonts w:hint="eastAsia"/>
          <w:b/>
          <w:sz w:val="24"/>
          <w:szCs w:val="24"/>
        </w:rPr>
        <w:t>七、</w:t>
      </w:r>
      <w:r>
        <w:rPr>
          <w:rFonts w:hint="eastAsia"/>
          <w:b/>
          <w:color w:val="000000"/>
          <w:sz w:val="24"/>
          <w:szCs w:val="24"/>
        </w:rPr>
        <w:t>与现行相关法律、法规、规章及相关标准的协调性</w:t>
      </w:r>
    </w:p>
    <w:p>
      <w:pPr>
        <w:spacing w:line="480" w:lineRule="auto"/>
        <w:ind w:firstLine="482"/>
        <w:rPr>
          <w:rFonts w:hint="eastAsia" w:ascii="楷体_GB2312" w:eastAsia="楷体_GB2312"/>
          <w:sz w:val="24"/>
          <w:szCs w:val="24"/>
        </w:rPr>
      </w:pPr>
      <w:r>
        <w:rPr>
          <w:rFonts w:hint="eastAsia" w:ascii="楷体_GB2312" w:eastAsia="楷体_GB2312"/>
          <w:sz w:val="24"/>
          <w:szCs w:val="24"/>
        </w:rPr>
        <w:t>本标准基于生命周期理论，参考 ISO 14067《温室气体产品碳足迹量化要求和指南》的相关要求，与 GB/T 24040《环境管理 生命周期评价原则与框架》、GB/T24044《环境管理 生命周期评价 要求与指南》相关要求保持一致。</w:t>
      </w:r>
    </w:p>
    <w:p>
      <w:pPr>
        <w:pStyle w:val="9"/>
        <w:spacing w:line="480" w:lineRule="auto"/>
        <w:ind w:firstLine="0" w:firstLineChars="0"/>
        <w:rPr>
          <w:rFonts w:hint="eastAsia"/>
          <w:b/>
          <w:color w:val="000000"/>
          <w:sz w:val="24"/>
          <w:szCs w:val="24"/>
        </w:rPr>
      </w:pPr>
      <w:r>
        <w:rPr>
          <w:rFonts w:hint="eastAsia"/>
          <w:b/>
          <w:sz w:val="24"/>
          <w:szCs w:val="24"/>
        </w:rPr>
        <w:t>八、</w:t>
      </w:r>
      <w:r>
        <w:rPr>
          <w:rFonts w:hint="eastAsia"/>
          <w:b/>
          <w:color w:val="000000"/>
          <w:sz w:val="24"/>
          <w:szCs w:val="24"/>
        </w:rPr>
        <w:t>重大分歧意见的处理经过和依据</w:t>
      </w:r>
    </w:p>
    <w:p>
      <w:pPr>
        <w:pStyle w:val="9"/>
        <w:spacing w:line="480" w:lineRule="auto"/>
        <w:ind w:firstLine="480"/>
        <w:rPr>
          <w:rFonts w:hint="eastAsia"/>
          <w:color w:val="000000"/>
          <w:sz w:val="24"/>
          <w:szCs w:val="24"/>
        </w:rPr>
      </w:pPr>
      <w:r>
        <w:rPr>
          <w:rFonts w:hint="eastAsia" w:ascii="楷体" w:hAnsi="楷体" w:eastAsia="楷体" w:cs="楷体"/>
          <w:color w:val="000000"/>
          <w:sz w:val="21"/>
          <w:szCs w:val="21"/>
        </w:rPr>
        <w:t>无</w:t>
      </w:r>
      <w:r>
        <w:rPr>
          <w:rFonts w:hint="eastAsia"/>
          <w:color w:val="000000"/>
          <w:sz w:val="24"/>
          <w:szCs w:val="24"/>
        </w:rPr>
        <w:t>。</w:t>
      </w:r>
    </w:p>
    <w:p>
      <w:pPr>
        <w:pStyle w:val="9"/>
        <w:spacing w:line="480" w:lineRule="auto"/>
        <w:ind w:firstLine="0" w:firstLineChars="0"/>
        <w:rPr>
          <w:rFonts w:hint="eastAsia"/>
          <w:b/>
          <w:color w:val="000000"/>
          <w:sz w:val="24"/>
          <w:szCs w:val="24"/>
        </w:rPr>
      </w:pPr>
      <w:r>
        <w:rPr>
          <w:rFonts w:hint="eastAsia"/>
          <w:b/>
          <w:color w:val="000000"/>
          <w:sz w:val="24"/>
          <w:szCs w:val="24"/>
        </w:rPr>
        <w:t>九、标准性质的建议</w:t>
      </w:r>
    </w:p>
    <w:p>
      <w:pPr>
        <w:pStyle w:val="9"/>
        <w:spacing w:line="480" w:lineRule="auto"/>
        <w:rPr>
          <w:rFonts w:hint="eastAsia" w:ascii="楷体_GB2312" w:eastAsia="楷体_GB2312"/>
          <w:sz w:val="24"/>
          <w:szCs w:val="24"/>
        </w:rPr>
      </w:pPr>
      <w:r>
        <w:rPr>
          <w:rFonts w:hint="eastAsia" w:ascii="楷体_GB2312" w:hAnsi="宋体" w:eastAsia="楷体_GB2312"/>
          <w:sz w:val="24"/>
          <w:szCs w:val="24"/>
        </w:rPr>
        <w:t>建议本项标准为</w:t>
      </w:r>
      <w:r>
        <w:rPr>
          <w:rFonts w:hint="eastAsia" w:ascii="楷体_GB2312" w:hAnsi="宋体" w:eastAsia="楷体_GB2312"/>
          <w:sz w:val="24"/>
          <w:szCs w:val="24"/>
          <w:lang w:val="en-US" w:eastAsia="zh-CN"/>
        </w:rPr>
        <w:t>行业</w:t>
      </w:r>
      <w:r>
        <w:rPr>
          <w:rFonts w:hint="eastAsia" w:ascii="楷体_GB2312" w:hAnsi="宋体" w:eastAsia="楷体_GB2312"/>
          <w:sz w:val="24"/>
          <w:szCs w:val="24"/>
        </w:rPr>
        <w:t>推荐性标准。</w:t>
      </w:r>
    </w:p>
    <w:p>
      <w:pPr>
        <w:pStyle w:val="9"/>
        <w:spacing w:line="480" w:lineRule="auto"/>
        <w:ind w:firstLine="0" w:firstLineChars="0"/>
        <w:rPr>
          <w:rFonts w:hint="eastAsia"/>
          <w:b/>
          <w:sz w:val="24"/>
          <w:szCs w:val="24"/>
        </w:rPr>
      </w:pPr>
      <w:r>
        <w:rPr>
          <w:rFonts w:hint="eastAsia"/>
          <w:b/>
          <w:sz w:val="24"/>
          <w:szCs w:val="24"/>
        </w:rPr>
        <w:t>十、</w:t>
      </w:r>
      <w:r>
        <w:rPr>
          <w:rFonts w:hint="eastAsia"/>
          <w:b/>
          <w:color w:val="000000"/>
          <w:sz w:val="24"/>
          <w:szCs w:val="24"/>
        </w:rPr>
        <w:t>贯彻标准的要求和措施建议</w:t>
      </w:r>
    </w:p>
    <w:p>
      <w:pPr>
        <w:pStyle w:val="9"/>
        <w:spacing w:line="480" w:lineRule="auto"/>
        <w:rPr>
          <w:rFonts w:hint="eastAsia" w:ascii="楷体_GB2312" w:hAnsi="宋体" w:eastAsia="楷体_GB2312" w:cs="Times New Roman"/>
          <w:color w:val="000000"/>
          <w:kern w:val="0"/>
          <w:sz w:val="24"/>
          <w:szCs w:val="24"/>
          <w:lang w:val="en-US" w:eastAsia="zh-CN" w:bidi="ar-SA"/>
        </w:rPr>
      </w:pPr>
      <w:r>
        <w:rPr>
          <w:rFonts w:hint="eastAsia" w:ascii="楷体_GB2312" w:hAnsi="宋体" w:eastAsia="楷体_GB2312" w:cs="Times New Roman"/>
          <w:color w:val="000000"/>
          <w:kern w:val="0"/>
          <w:sz w:val="24"/>
          <w:szCs w:val="24"/>
          <w:lang w:val="en-US" w:eastAsia="zh-CN" w:bidi="ar-SA"/>
        </w:rPr>
        <w:t>建议标准尽快发布，自发布之日起 6 个月实施。</w:t>
      </w:r>
    </w:p>
    <w:p>
      <w:pPr>
        <w:pStyle w:val="9"/>
        <w:spacing w:line="480" w:lineRule="auto"/>
        <w:ind w:left="0" w:leftChars="0" w:firstLine="0" w:firstLineChars="0"/>
        <w:rPr>
          <w:rFonts w:hint="eastAsia"/>
          <w:b/>
          <w:sz w:val="24"/>
          <w:szCs w:val="24"/>
        </w:rPr>
      </w:pPr>
      <w:r>
        <w:rPr>
          <w:rFonts w:hint="eastAsia"/>
          <w:b/>
          <w:sz w:val="24"/>
          <w:szCs w:val="24"/>
        </w:rPr>
        <w:t>十一、替代或</w:t>
      </w:r>
      <w:r>
        <w:rPr>
          <w:rFonts w:hint="eastAsia"/>
          <w:b/>
          <w:color w:val="000000"/>
          <w:sz w:val="24"/>
          <w:szCs w:val="24"/>
        </w:rPr>
        <w:t>废止现行相关标准的建议</w:t>
      </w:r>
    </w:p>
    <w:p>
      <w:pPr>
        <w:pStyle w:val="9"/>
        <w:spacing w:line="480" w:lineRule="auto"/>
        <w:rPr>
          <w:rFonts w:hint="eastAsia" w:ascii="楷体_GB2312" w:eastAsia="楷体_GB2312"/>
          <w:sz w:val="24"/>
          <w:szCs w:val="24"/>
        </w:rPr>
      </w:pPr>
      <w:r>
        <w:rPr>
          <w:rFonts w:hint="eastAsia" w:ascii="楷体_GB2312" w:eastAsia="楷体_GB2312"/>
          <w:sz w:val="24"/>
          <w:szCs w:val="24"/>
          <w:lang w:val="en-US" w:eastAsia="zh-CN"/>
        </w:rPr>
        <w:t>无</w:t>
      </w:r>
      <w:r>
        <w:rPr>
          <w:rFonts w:hint="eastAsia" w:ascii="楷体_GB2312" w:eastAsia="楷体_GB2312"/>
          <w:sz w:val="24"/>
          <w:szCs w:val="24"/>
        </w:rPr>
        <w:t>。</w:t>
      </w:r>
    </w:p>
    <w:p>
      <w:pPr>
        <w:pStyle w:val="9"/>
        <w:spacing w:line="480" w:lineRule="auto"/>
        <w:ind w:left="0" w:leftChars="0" w:firstLine="0" w:firstLineChars="0"/>
        <w:rPr>
          <w:rFonts w:hint="eastAsia"/>
          <w:b/>
          <w:color w:val="000000"/>
          <w:sz w:val="24"/>
          <w:szCs w:val="24"/>
        </w:rPr>
      </w:pPr>
      <w:r>
        <w:rPr>
          <w:rFonts w:hint="eastAsia"/>
          <w:b/>
          <w:sz w:val="24"/>
          <w:szCs w:val="24"/>
        </w:rPr>
        <w:t>十二、</w:t>
      </w:r>
      <w:r>
        <w:rPr>
          <w:rFonts w:hint="eastAsia"/>
          <w:b/>
          <w:color w:val="000000"/>
          <w:sz w:val="24"/>
          <w:szCs w:val="24"/>
        </w:rPr>
        <w:t>其它应予说明的事项</w:t>
      </w:r>
    </w:p>
    <w:p>
      <w:pPr>
        <w:pStyle w:val="9"/>
        <w:spacing w:line="480" w:lineRule="auto"/>
        <w:rPr>
          <w:rFonts w:hint="eastAsia" w:ascii="宋体" w:hAnsi="宋体"/>
          <w:sz w:val="24"/>
        </w:rPr>
      </w:pPr>
      <w:r>
        <w:rPr>
          <w:rFonts w:hint="eastAsia" w:ascii="楷体_GB2312" w:hAnsi="宋体" w:eastAsia="楷体_GB2312" w:cs="Times New Roman"/>
          <w:color w:val="000000"/>
          <w:kern w:val="0"/>
          <w:sz w:val="24"/>
          <w:szCs w:val="24"/>
          <w:lang w:val="en-US" w:eastAsia="zh-CN" w:bidi="ar-SA"/>
        </w:rPr>
        <w:t>无。</w:t>
      </w:r>
      <w:r>
        <w:rPr>
          <w:rFonts w:hint="eastAsia" w:ascii="宋体" w:hAnsi="宋体"/>
          <w:sz w:val="24"/>
        </w:rPr>
        <w:t xml:space="preserve">                     </w:t>
      </w:r>
    </w:p>
    <w:p>
      <w:pPr>
        <w:spacing w:line="360" w:lineRule="auto"/>
        <w:jc w:val="right"/>
        <w:rPr>
          <w:rFonts w:hint="eastAsia" w:ascii="宋体" w:hAnsi="宋体"/>
          <w:sz w:val="24"/>
          <w:lang w:eastAsia="zh-CN"/>
        </w:rPr>
      </w:pPr>
      <w:r>
        <w:rPr>
          <w:rFonts w:hint="eastAsia" w:ascii="宋体" w:hAnsi="宋体"/>
          <w:sz w:val="24"/>
          <w:lang w:eastAsia="zh-CN"/>
        </w:rPr>
        <w:t>《</w:t>
      </w:r>
      <w:r>
        <w:rPr>
          <w:rFonts w:hint="eastAsia" w:ascii="楷体_GB2312" w:eastAsia="楷体_GB2312"/>
          <w:sz w:val="24"/>
          <w:szCs w:val="24"/>
          <w:lang w:val="en-US" w:eastAsia="zh-CN"/>
        </w:rPr>
        <w:t>产品碳足迹 产品种类规则 模块化数据中心</w:t>
      </w:r>
      <w:r>
        <w:rPr>
          <w:rFonts w:hint="eastAsia" w:ascii="宋体" w:hAnsi="宋体"/>
          <w:sz w:val="24"/>
          <w:lang w:eastAsia="zh-CN"/>
        </w:rPr>
        <w:t>》</w:t>
      </w:r>
    </w:p>
    <w:p>
      <w:pPr>
        <w:spacing w:line="360" w:lineRule="auto"/>
        <w:jc w:val="right"/>
        <w:rPr>
          <w:rFonts w:hint="eastAsia" w:ascii="宋体" w:hAnsi="宋体"/>
          <w:sz w:val="24"/>
        </w:rPr>
      </w:pPr>
      <w:r>
        <w:rPr>
          <w:rFonts w:hint="eastAsia" w:ascii="楷体_GB2312" w:eastAsia="楷体_GB2312"/>
          <w:sz w:val="24"/>
          <w:szCs w:val="24"/>
          <w:lang w:val="en-US" w:eastAsia="zh-CN"/>
        </w:rPr>
        <w:t xml:space="preserve">行业标准编制工作组 </w:t>
      </w:r>
      <w:r>
        <w:rPr>
          <w:rFonts w:hint="eastAsia" w:ascii="宋体" w:hAnsi="宋体"/>
          <w:sz w:val="24"/>
        </w:rPr>
        <w:t xml:space="preserve">                     </w:t>
      </w:r>
    </w:p>
    <w:p>
      <w:pPr>
        <w:spacing w:line="360" w:lineRule="auto"/>
        <w:jc w:val="center"/>
        <w:rPr>
          <w:rFonts w:hint="eastAsia" w:ascii="宋体" w:hAnsi="宋体"/>
          <w:szCs w:val="21"/>
          <w:lang w:val="en-US" w:eastAsia="zh-CN"/>
        </w:rPr>
      </w:pPr>
      <w:r>
        <w:rPr>
          <w:rFonts w:hint="eastAsia" w:ascii="宋体" w:hAnsi="宋体"/>
          <w:sz w:val="24"/>
          <w:lang w:val="en-US" w:eastAsia="zh-CN"/>
        </w:rPr>
        <w:t xml:space="preserve">                                                       2024.5.16</w:t>
      </w:r>
    </w:p>
    <w:sectPr>
      <w:pgSz w:w="12081" w:h="16962"/>
      <w:pgMar w:top="1417" w:right="1814" w:bottom="1412" w:left="1814" w:header="0" w:footer="1293"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53B1D"/>
    <w:multiLevelType w:val="singleLevel"/>
    <w:tmpl w:val="A5853B1D"/>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945" w:firstLine="0"/>
      </w:pPr>
      <w:rPr>
        <w:rFonts w:hint="eastAsia" w:ascii="黑体" w:hAnsi="Times New Roman" w:eastAsia="黑体"/>
        <w:b w:val="0"/>
        <w:bCs w:val="0"/>
        <w:i w:val="0"/>
        <w:iCs w:val="0"/>
        <w:vanish/>
        <w:spacing w:val="0"/>
        <w:kern w:val="0"/>
        <w:sz w:val="21"/>
        <w:szCs w:val="21"/>
        <w:u w:val="none"/>
        <w:vertAlign w:val="baseline"/>
      </w:rPr>
    </w:lvl>
    <w:lvl w:ilvl="2" w:tentative="0">
      <w:start w:val="1"/>
      <w:numFmt w:val="decimal"/>
      <w:pStyle w:val="12"/>
      <w:suff w:val="nothing"/>
      <w:lvlText w:val="%1.%2.%3　"/>
      <w:lvlJc w:val="left"/>
      <w:pPr>
        <w:ind w:left="3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BBEEE8D"/>
    <w:multiLevelType w:val="singleLevel"/>
    <w:tmpl w:val="5BBEEE8D"/>
    <w:lvl w:ilvl="0" w:tentative="0">
      <w:start w:val="1"/>
      <w:numFmt w:val="decimal"/>
      <w:lvlText w:val="%1"/>
      <w:lvlJc w:val="left"/>
      <w:pPr>
        <w:tabs>
          <w:tab w:val="left" w:pos="420"/>
        </w:tabs>
        <w:ind w:left="425" w:hanging="425"/>
      </w:pPr>
      <w:rPr>
        <w:rFonts w:hint="default"/>
      </w:rPr>
    </w:lvl>
  </w:abstractNum>
  <w:abstractNum w:abstractNumId="4">
    <w:nsid w:val="5EF81A98"/>
    <w:multiLevelType w:val="singleLevel"/>
    <w:tmpl w:val="5EF81A98"/>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C5367"/>
    <w:rsid w:val="00C40FA8"/>
    <w:rsid w:val="00C945D8"/>
    <w:rsid w:val="00DB2EA3"/>
    <w:rsid w:val="012958F6"/>
    <w:rsid w:val="02053AEB"/>
    <w:rsid w:val="02574CE3"/>
    <w:rsid w:val="041F7ED2"/>
    <w:rsid w:val="04820ADC"/>
    <w:rsid w:val="0491498E"/>
    <w:rsid w:val="04A72DDA"/>
    <w:rsid w:val="051060E7"/>
    <w:rsid w:val="055F2A5D"/>
    <w:rsid w:val="0586291D"/>
    <w:rsid w:val="05F467D4"/>
    <w:rsid w:val="06477E5C"/>
    <w:rsid w:val="06C071A1"/>
    <w:rsid w:val="06C226A4"/>
    <w:rsid w:val="07017C0B"/>
    <w:rsid w:val="0726401C"/>
    <w:rsid w:val="0729554C"/>
    <w:rsid w:val="07FD446B"/>
    <w:rsid w:val="085C571A"/>
    <w:rsid w:val="098174AB"/>
    <w:rsid w:val="09E12241"/>
    <w:rsid w:val="0A9A7472"/>
    <w:rsid w:val="0B243B52"/>
    <w:rsid w:val="0C4B4C3A"/>
    <w:rsid w:val="0CA6624D"/>
    <w:rsid w:val="0D1D4F92"/>
    <w:rsid w:val="0D4A0652"/>
    <w:rsid w:val="0D5605EF"/>
    <w:rsid w:val="0D5A4DF7"/>
    <w:rsid w:val="0E7A6A47"/>
    <w:rsid w:val="104E4A31"/>
    <w:rsid w:val="111F5EF8"/>
    <w:rsid w:val="11913BAC"/>
    <w:rsid w:val="121042CA"/>
    <w:rsid w:val="128611F1"/>
    <w:rsid w:val="13547143"/>
    <w:rsid w:val="13995836"/>
    <w:rsid w:val="14A15B28"/>
    <w:rsid w:val="14C0309A"/>
    <w:rsid w:val="164178F1"/>
    <w:rsid w:val="171966F1"/>
    <w:rsid w:val="1750464D"/>
    <w:rsid w:val="17583A0A"/>
    <w:rsid w:val="17592D18"/>
    <w:rsid w:val="18A95E47"/>
    <w:rsid w:val="18B9619D"/>
    <w:rsid w:val="18C15C1F"/>
    <w:rsid w:val="18C42B3C"/>
    <w:rsid w:val="19740ACF"/>
    <w:rsid w:val="19C672B4"/>
    <w:rsid w:val="1AE351F5"/>
    <w:rsid w:val="1B657406"/>
    <w:rsid w:val="1B6E20CD"/>
    <w:rsid w:val="1C4E6FFE"/>
    <w:rsid w:val="1EB15386"/>
    <w:rsid w:val="1F38650F"/>
    <w:rsid w:val="1F423B59"/>
    <w:rsid w:val="1F503858"/>
    <w:rsid w:val="1F763049"/>
    <w:rsid w:val="1FC8398C"/>
    <w:rsid w:val="20AD2980"/>
    <w:rsid w:val="215025B4"/>
    <w:rsid w:val="21644AD8"/>
    <w:rsid w:val="22805453"/>
    <w:rsid w:val="2338088B"/>
    <w:rsid w:val="234A5951"/>
    <w:rsid w:val="243A2F7C"/>
    <w:rsid w:val="244373B1"/>
    <w:rsid w:val="25764F02"/>
    <w:rsid w:val="25D21A81"/>
    <w:rsid w:val="27133A29"/>
    <w:rsid w:val="271C5367"/>
    <w:rsid w:val="273F6232"/>
    <w:rsid w:val="27AB7C5B"/>
    <w:rsid w:val="27D33279"/>
    <w:rsid w:val="280E62FD"/>
    <w:rsid w:val="28D66B8D"/>
    <w:rsid w:val="295E3016"/>
    <w:rsid w:val="29AC36EE"/>
    <w:rsid w:val="29B46176"/>
    <w:rsid w:val="2A3E6494"/>
    <w:rsid w:val="2B4C407F"/>
    <w:rsid w:val="2B8973FB"/>
    <w:rsid w:val="2B9E3B1D"/>
    <w:rsid w:val="2C5F7E51"/>
    <w:rsid w:val="2C940BB2"/>
    <w:rsid w:val="2CEB6F3E"/>
    <w:rsid w:val="2D53689C"/>
    <w:rsid w:val="2DB61F8F"/>
    <w:rsid w:val="2DF44782"/>
    <w:rsid w:val="2E717347"/>
    <w:rsid w:val="30E57BC8"/>
    <w:rsid w:val="313F7EA1"/>
    <w:rsid w:val="316A6B67"/>
    <w:rsid w:val="31967D77"/>
    <w:rsid w:val="324C535B"/>
    <w:rsid w:val="33637BDB"/>
    <w:rsid w:val="33F93952"/>
    <w:rsid w:val="343A2848"/>
    <w:rsid w:val="356F75FB"/>
    <w:rsid w:val="3570223A"/>
    <w:rsid w:val="36011B29"/>
    <w:rsid w:val="371D3491"/>
    <w:rsid w:val="387F1B3D"/>
    <w:rsid w:val="388A344E"/>
    <w:rsid w:val="38A7350C"/>
    <w:rsid w:val="390E2362"/>
    <w:rsid w:val="39255FA8"/>
    <w:rsid w:val="39AF7CB0"/>
    <w:rsid w:val="39C34753"/>
    <w:rsid w:val="39C66BB3"/>
    <w:rsid w:val="39D55431"/>
    <w:rsid w:val="3A332D84"/>
    <w:rsid w:val="3AEA1B2C"/>
    <w:rsid w:val="3B4F388B"/>
    <w:rsid w:val="3B5A7CEC"/>
    <w:rsid w:val="3BF5131A"/>
    <w:rsid w:val="3C1850DF"/>
    <w:rsid w:val="3C333252"/>
    <w:rsid w:val="3C51278C"/>
    <w:rsid w:val="3C88295C"/>
    <w:rsid w:val="3D97091B"/>
    <w:rsid w:val="3E1A4DE3"/>
    <w:rsid w:val="3E7452EB"/>
    <w:rsid w:val="3EB62F71"/>
    <w:rsid w:val="3F150D8C"/>
    <w:rsid w:val="3FB91463"/>
    <w:rsid w:val="3FC76631"/>
    <w:rsid w:val="40662CB8"/>
    <w:rsid w:val="42256110"/>
    <w:rsid w:val="42310788"/>
    <w:rsid w:val="428F35C1"/>
    <w:rsid w:val="42D739B6"/>
    <w:rsid w:val="42DE7FD0"/>
    <w:rsid w:val="42EF105C"/>
    <w:rsid w:val="43270C90"/>
    <w:rsid w:val="43410E67"/>
    <w:rsid w:val="43E560F1"/>
    <w:rsid w:val="4418632E"/>
    <w:rsid w:val="445C7035"/>
    <w:rsid w:val="44654E01"/>
    <w:rsid w:val="44A654A3"/>
    <w:rsid w:val="44A87213"/>
    <w:rsid w:val="44C35AE0"/>
    <w:rsid w:val="45F53B2E"/>
    <w:rsid w:val="464623D8"/>
    <w:rsid w:val="4702058D"/>
    <w:rsid w:val="47210E42"/>
    <w:rsid w:val="472829CB"/>
    <w:rsid w:val="475009F7"/>
    <w:rsid w:val="47A370CC"/>
    <w:rsid w:val="485B64C3"/>
    <w:rsid w:val="48B07F42"/>
    <w:rsid w:val="48F3235F"/>
    <w:rsid w:val="490A0962"/>
    <w:rsid w:val="49AA71E7"/>
    <w:rsid w:val="4A140E14"/>
    <w:rsid w:val="4B213550"/>
    <w:rsid w:val="4B481211"/>
    <w:rsid w:val="4B4A7BD3"/>
    <w:rsid w:val="4C5A2353"/>
    <w:rsid w:val="4C816990"/>
    <w:rsid w:val="4D966893"/>
    <w:rsid w:val="4DED50AF"/>
    <w:rsid w:val="4EC23C9C"/>
    <w:rsid w:val="4F856392"/>
    <w:rsid w:val="4FE03214"/>
    <w:rsid w:val="50165391"/>
    <w:rsid w:val="5190705D"/>
    <w:rsid w:val="51CC4612"/>
    <w:rsid w:val="52653BBD"/>
    <w:rsid w:val="52E16861"/>
    <w:rsid w:val="535769C9"/>
    <w:rsid w:val="54983866"/>
    <w:rsid w:val="54A85071"/>
    <w:rsid w:val="55912766"/>
    <w:rsid w:val="55C20188"/>
    <w:rsid w:val="56137B46"/>
    <w:rsid w:val="56FF0AB4"/>
    <w:rsid w:val="57AE5369"/>
    <w:rsid w:val="58CC68D6"/>
    <w:rsid w:val="5A4B37D1"/>
    <w:rsid w:val="5AFF0F58"/>
    <w:rsid w:val="5BC11424"/>
    <w:rsid w:val="5C5677F5"/>
    <w:rsid w:val="5D456C14"/>
    <w:rsid w:val="5DA25A90"/>
    <w:rsid w:val="5DB062C3"/>
    <w:rsid w:val="5E0D40E7"/>
    <w:rsid w:val="5E706923"/>
    <w:rsid w:val="5EDB472C"/>
    <w:rsid w:val="5EF04A01"/>
    <w:rsid w:val="5F2B1033"/>
    <w:rsid w:val="5F780090"/>
    <w:rsid w:val="5F9C39B9"/>
    <w:rsid w:val="5FA34174"/>
    <w:rsid w:val="6023728B"/>
    <w:rsid w:val="6055153B"/>
    <w:rsid w:val="60DE647B"/>
    <w:rsid w:val="61733EC9"/>
    <w:rsid w:val="6173696E"/>
    <w:rsid w:val="617A50CB"/>
    <w:rsid w:val="639F01FD"/>
    <w:rsid w:val="646D3B32"/>
    <w:rsid w:val="64836FBC"/>
    <w:rsid w:val="64D92503"/>
    <w:rsid w:val="65266D7F"/>
    <w:rsid w:val="65927979"/>
    <w:rsid w:val="66310536"/>
    <w:rsid w:val="66336D6C"/>
    <w:rsid w:val="663A3FBC"/>
    <w:rsid w:val="66BF6EA0"/>
    <w:rsid w:val="67390D68"/>
    <w:rsid w:val="67980F98"/>
    <w:rsid w:val="689C2BAE"/>
    <w:rsid w:val="68C15CB5"/>
    <w:rsid w:val="69A302F9"/>
    <w:rsid w:val="6A984F72"/>
    <w:rsid w:val="6AD74A57"/>
    <w:rsid w:val="6B304837"/>
    <w:rsid w:val="6C7E3DED"/>
    <w:rsid w:val="6CFC1B36"/>
    <w:rsid w:val="6D277236"/>
    <w:rsid w:val="6D7C6C16"/>
    <w:rsid w:val="6DA438F0"/>
    <w:rsid w:val="6DE85A69"/>
    <w:rsid w:val="6E4B5383"/>
    <w:rsid w:val="6E5C1945"/>
    <w:rsid w:val="6F3C6EA4"/>
    <w:rsid w:val="6F6A5D27"/>
    <w:rsid w:val="6F8B248C"/>
    <w:rsid w:val="70D746AC"/>
    <w:rsid w:val="71506A1F"/>
    <w:rsid w:val="71787AB9"/>
    <w:rsid w:val="71C905C1"/>
    <w:rsid w:val="72112EE5"/>
    <w:rsid w:val="73806A6D"/>
    <w:rsid w:val="73983B95"/>
    <w:rsid w:val="73A225C1"/>
    <w:rsid w:val="7443359B"/>
    <w:rsid w:val="749D155F"/>
    <w:rsid w:val="753352D6"/>
    <w:rsid w:val="763F5A21"/>
    <w:rsid w:val="766F1796"/>
    <w:rsid w:val="77746D80"/>
    <w:rsid w:val="77904DB5"/>
    <w:rsid w:val="780D14EB"/>
    <w:rsid w:val="79350CE9"/>
    <w:rsid w:val="79BC1EC7"/>
    <w:rsid w:val="7AD31C35"/>
    <w:rsid w:val="7B38059E"/>
    <w:rsid w:val="7B9D7579"/>
    <w:rsid w:val="7BC96724"/>
    <w:rsid w:val="7C644CDC"/>
    <w:rsid w:val="7CBC4D73"/>
    <w:rsid w:val="7D7A0669"/>
    <w:rsid w:val="7DAC2780"/>
    <w:rsid w:val="7DC346EE"/>
    <w:rsid w:val="7DF1427C"/>
    <w:rsid w:val="7E2255FE"/>
    <w:rsid w:val="7E5E502D"/>
    <w:rsid w:val="7E9A5AFC"/>
    <w:rsid w:val="7F4A08E4"/>
    <w:rsid w:val="7F5451E4"/>
    <w:rsid w:val="7FC4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widowControl/>
      <w:overflowPunct w:val="0"/>
      <w:autoSpaceDE w:val="0"/>
      <w:autoSpaceDN w:val="0"/>
      <w:spacing w:line="360" w:lineRule="auto"/>
      <w:outlineLvl w:val="1"/>
    </w:pPr>
    <w:rPr>
      <w:rFonts w:ascii="黑体" w:hAnsi="黑体" w:eastAsia="黑体" w:cs="Times New Roman"/>
      <w:sz w:val="28"/>
      <w:szCs w:val="22"/>
    </w:rPr>
  </w:style>
  <w:style w:type="paragraph" w:styleId="3">
    <w:name w:val="heading 4"/>
    <w:basedOn w:val="1"/>
    <w:next w:val="1"/>
    <w:semiHidden/>
    <w:unhideWhenUsed/>
    <w:qFormat/>
    <w:uiPriority w:val="0"/>
    <w:pPr>
      <w:keepNext/>
      <w:keepLines/>
      <w:spacing w:beforeLines="0" w:beforeAutospacing="0" w:afterLines="0" w:afterAutospacing="0" w:line="360" w:lineRule="auto"/>
      <w:outlineLvl w:val="3"/>
    </w:pPr>
    <w:rPr>
      <w:rFonts w:ascii="Times New Roman" w:hAnsi="Times New Roman" w:eastAsia="仿宋"/>
      <w:b/>
      <w:sz w:val="28"/>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character" w:styleId="8">
    <w:name w:val="Hyperlink"/>
    <w:basedOn w:val="6"/>
    <w:qFormat/>
    <w:uiPriority w:val="0"/>
    <w:rPr>
      <w:color w:val="0000FF"/>
      <w:u w:val="single"/>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_Style 2"/>
    <w:basedOn w:val="1"/>
    <w:qFormat/>
    <w:uiPriority w:val="34"/>
    <w:pPr>
      <w:ind w:firstLine="420" w:firstLineChars="200"/>
    </w:pPr>
    <w:rPr>
      <w:rFonts w:ascii="Calibri" w:hAnsi="Calibri"/>
      <w:szCs w:val="22"/>
    </w:rPr>
  </w:style>
  <w:style w:type="paragraph" w:customStyle="1" w:styleId="11">
    <w:name w:val="二级无"/>
    <w:basedOn w:val="12"/>
    <w:qFormat/>
    <w:uiPriority w:val="0"/>
    <w:pPr>
      <w:spacing w:before="0" w:after="0"/>
    </w:pPr>
    <w:rPr>
      <w:rFonts w:ascii="宋体" w:eastAsia="宋体"/>
    </w:rPr>
  </w:style>
  <w:style w:type="paragraph" w:customStyle="1" w:styleId="12">
    <w:name w:val="二级条标题"/>
    <w:basedOn w:val="13"/>
    <w:qFormat/>
    <w:uiPriority w:val="0"/>
    <w:pPr>
      <w:numPr>
        <w:ilvl w:val="2"/>
        <w:numId w:val="1"/>
      </w:numPr>
      <w:spacing w:before="50" w:after="50"/>
      <w:outlineLvl w:val="3"/>
    </w:pPr>
  </w:style>
  <w:style w:type="paragraph" w:customStyle="1" w:styleId="13">
    <w:name w:val="一级条标题"/>
    <w:qFormat/>
    <w:uiPriority w:val="0"/>
    <w:pPr>
      <w:numPr>
        <w:ilvl w:val="1"/>
        <w:numId w:val="1"/>
      </w:numPr>
      <w:spacing w:before="156" w:after="156"/>
      <w:outlineLvl w:val="2"/>
    </w:pPr>
    <w:rPr>
      <w:rFonts w:ascii="黑体" w:hAnsi="Times New Roman" w:eastAsia="黑体" w:cs="Times New Roman"/>
      <w:sz w:val="21"/>
      <w:szCs w:val="21"/>
      <w:lang w:val="en-US" w:eastAsia="zh-CN" w:bidi="ar-SA"/>
    </w:rPr>
  </w:style>
  <w:style w:type="paragraph" w:customStyle="1" w:styleId="1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2024-03-06T01:35:00Z</dcterms:created>
  <dc:creator>赵礼弢</dc:creator>
  <cp:lastModifiedBy>赵礼弢</cp:lastModifiedBy>
  <dcterms:modified xsi:type="dcterms:W3CDTF">2024-05-27T07:23:12Z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2225BB709C284508A8037FF7427AA5F4</vt:lpwstr>
  </property>
</Properties>
</file>